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703" w:rsidRDefault="00347996" w:rsidP="00347996">
      <w:pPr>
        <w:spacing w:after="0"/>
        <w:jc w:val="center"/>
        <w:rPr>
          <w:u w:val="single"/>
        </w:rPr>
      </w:pPr>
      <w:r w:rsidRPr="00347996">
        <w:rPr>
          <w:u w:val="single"/>
        </w:rPr>
        <w:t>Multi-Year Accessibility Plan for Scholastic Canada Ltd.</w:t>
      </w:r>
    </w:p>
    <w:p w:rsidR="00347996" w:rsidRDefault="00347996" w:rsidP="00347996">
      <w:pPr>
        <w:spacing w:after="0"/>
        <w:jc w:val="center"/>
        <w:rPr>
          <w:u w:val="single"/>
        </w:rPr>
      </w:pPr>
    </w:p>
    <w:p w:rsidR="00347996" w:rsidRPr="009049B8" w:rsidRDefault="009049B8" w:rsidP="00347996">
      <w:pPr>
        <w:spacing w:after="0"/>
        <w:rPr>
          <w:b/>
          <w:u w:val="single"/>
        </w:rPr>
      </w:pPr>
      <w:r w:rsidRPr="009049B8">
        <w:rPr>
          <w:b/>
          <w:u w:val="single"/>
        </w:rPr>
        <w:t>Introduction</w:t>
      </w:r>
      <w:r>
        <w:rPr>
          <w:b/>
          <w:u w:val="single"/>
        </w:rPr>
        <w:t>:</w:t>
      </w:r>
    </w:p>
    <w:p w:rsidR="009049B8" w:rsidRDefault="009049B8" w:rsidP="00347996">
      <w:pPr>
        <w:spacing w:after="0"/>
      </w:pPr>
      <w:r>
        <w:t xml:space="preserve">The Accessibility for Ontarians with Disabilities Act, 2005, (AODA) was passed in June 2005, with the purpose of developing, implementing, and enforcing accessibility standards for Ontarians. The goal of the AODA is for Ontario to be fully accessibility by January 1, 2025, by implementing a series of accessibility standards. These standards focus on identifying, </w:t>
      </w:r>
      <w:r w:rsidR="002F23B6">
        <w:t>preventing and removing barriers to address the current and future requirements set out under the IASR.</w:t>
      </w:r>
    </w:p>
    <w:p w:rsidR="00F35594" w:rsidRDefault="00F35594" w:rsidP="00347996">
      <w:pPr>
        <w:spacing w:after="0"/>
      </w:pPr>
    </w:p>
    <w:p w:rsidR="00F35594" w:rsidRDefault="00F35594" w:rsidP="00347996">
      <w:pPr>
        <w:spacing w:after="0"/>
      </w:pPr>
      <w:r>
        <w:rPr>
          <w:b/>
          <w:u w:val="single"/>
        </w:rPr>
        <w:t xml:space="preserve">Statement of Commitment: </w:t>
      </w:r>
    </w:p>
    <w:p w:rsidR="00F35594" w:rsidRDefault="00F35594" w:rsidP="00347996">
      <w:pPr>
        <w:spacing w:after="0"/>
      </w:pPr>
      <w:r>
        <w:t>Scholastic Canada is committed to excellence in serving all customers including people with disabilities. All customer service provided by Scholastic Canada shall follow the ideals of dignity, independence, integration, and equal opportunity.</w:t>
      </w:r>
    </w:p>
    <w:p w:rsidR="00F35594" w:rsidRDefault="00F35594" w:rsidP="00347996">
      <w:pPr>
        <w:spacing w:after="0"/>
      </w:pPr>
    </w:p>
    <w:p w:rsidR="00F35594" w:rsidRDefault="00F35594" w:rsidP="00347996">
      <w:pPr>
        <w:spacing w:after="0"/>
      </w:pPr>
      <w:r>
        <w:t>As part of our commitment to accessibility, we will ensure that Scholastic Canada staff are trained and familiar with various devices that may be used by customers with disabilities while accessing goods or services. We will communicate with people with disabilities in ways that take into account their disability.</w:t>
      </w:r>
    </w:p>
    <w:p w:rsidR="00F35594" w:rsidRDefault="00F35594" w:rsidP="00347996">
      <w:pPr>
        <w:spacing w:after="0"/>
      </w:pPr>
    </w:p>
    <w:p w:rsidR="00F35594" w:rsidRDefault="00F35594" w:rsidP="00347996">
      <w:pPr>
        <w:spacing w:after="0"/>
      </w:pPr>
      <w:r>
        <w:t>As we continue to improve our services for people with disabilities, we will post changes here within our accessibility statement, so you will know the progress we are making.</w:t>
      </w:r>
    </w:p>
    <w:p w:rsidR="00F35594" w:rsidRDefault="00F35594" w:rsidP="00347996">
      <w:pPr>
        <w:spacing w:after="0"/>
      </w:pPr>
    </w:p>
    <w:p w:rsidR="00F35594" w:rsidRDefault="00F35594" w:rsidP="00347996">
      <w:pPr>
        <w:spacing w:after="0"/>
      </w:pPr>
      <w:r>
        <w:t xml:space="preserve">In the event of a planned or unexpected disruption to services or facilities for customers with disabilities, Scholastic Canada </w:t>
      </w:r>
      <w:r w:rsidR="00D40B1D">
        <w:t>will make every reasonable effort to notify customers promptly. We will provide information including the reason for the disruption, its anticipated length of time, and a description of alternative facilities or services, if available.</w:t>
      </w:r>
    </w:p>
    <w:p w:rsidR="00A72F7E" w:rsidRDefault="00A72F7E" w:rsidP="00347996">
      <w:pPr>
        <w:spacing w:after="0"/>
      </w:pPr>
    </w:p>
    <w:p w:rsidR="00B16C24" w:rsidRDefault="00B16C24" w:rsidP="00347996">
      <w:pPr>
        <w:spacing w:after="0"/>
      </w:pPr>
      <w:r>
        <w:t>The following accessibility standards are applicable to Scholastic Canada under the IASR:</w:t>
      </w:r>
    </w:p>
    <w:p w:rsidR="00B16C24" w:rsidRDefault="00B16C24" w:rsidP="00B16C24">
      <w:pPr>
        <w:pStyle w:val="ListParagraph"/>
        <w:numPr>
          <w:ilvl w:val="0"/>
          <w:numId w:val="13"/>
        </w:numPr>
        <w:spacing w:after="0"/>
      </w:pPr>
      <w:r>
        <w:t>General Requirements</w:t>
      </w:r>
    </w:p>
    <w:p w:rsidR="00B16C24" w:rsidRDefault="00B16C24" w:rsidP="00B16C24">
      <w:pPr>
        <w:pStyle w:val="ListParagraph"/>
        <w:numPr>
          <w:ilvl w:val="0"/>
          <w:numId w:val="13"/>
        </w:numPr>
        <w:spacing w:after="0"/>
      </w:pPr>
      <w:r>
        <w:t>Information and Communication Standards</w:t>
      </w:r>
    </w:p>
    <w:p w:rsidR="00B16C24" w:rsidRDefault="00B16C24" w:rsidP="00B16C24">
      <w:pPr>
        <w:pStyle w:val="ListParagraph"/>
        <w:numPr>
          <w:ilvl w:val="0"/>
          <w:numId w:val="13"/>
        </w:numPr>
        <w:spacing w:after="0"/>
      </w:pPr>
      <w:r>
        <w:t>Employment Standards</w:t>
      </w:r>
    </w:p>
    <w:p w:rsidR="00B16C24" w:rsidRDefault="00B16C24" w:rsidP="00347996">
      <w:pPr>
        <w:spacing w:after="0"/>
      </w:pPr>
    </w:p>
    <w:p w:rsidR="00A72F7E" w:rsidRDefault="00A72F7E" w:rsidP="00347996">
      <w:pPr>
        <w:spacing w:after="0"/>
      </w:pPr>
      <w:r>
        <w:t>As part of the mandate to improve accessibility at Scholastic Canada, the organization has developed a multi-year accessibility plan that</w:t>
      </w:r>
      <w:r w:rsidR="00DB3CC7">
        <w:t xml:space="preserve"> will be made </w:t>
      </w:r>
      <w:r w:rsidRPr="00DB3CC7">
        <w:t xml:space="preserve">available online and in alternative formats if requested. </w:t>
      </w:r>
      <w:r w:rsidR="00C16448" w:rsidRPr="00DB3CC7">
        <w:t xml:space="preserve"> Scholastic will establish, review and update this plan in consultation with persons with disabilities, post the accessibility plan on its website (</w:t>
      </w:r>
      <w:hyperlink r:id="rId8" w:history="1">
        <w:r w:rsidR="00C16448" w:rsidRPr="00DB3CC7">
          <w:rPr>
            <w:rStyle w:val="Hyperlink"/>
          </w:rPr>
          <w:t>www.scholastic.ca</w:t>
        </w:r>
      </w:hyperlink>
      <w:r w:rsidR="00C16448" w:rsidRPr="00DB3CC7">
        <w:t xml:space="preserve">), </w:t>
      </w:r>
      <w:r w:rsidR="00DB3CC7" w:rsidRPr="00DB3CC7">
        <w:t xml:space="preserve">and </w:t>
      </w:r>
      <w:r w:rsidR="00C16448" w:rsidRPr="00DB3CC7">
        <w:t xml:space="preserve">report </w:t>
      </w:r>
      <w:r w:rsidR="00DB3CC7" w:rsidRPr="00DB3CC7">
        <w:t>the progress of the implementation of this plan on its website, as required. Scholastic Canada will also p</w:t>
      </w:r>
      <w:r w:rsidR="00C16448" w:rsidRPr="00DB3CC7">
        <w:t>rovide the plan in an accessible format, upon request, and review and update this plan at least once every five years.</w:t>
      </w:r>
      <w:r w:rsidR="00C16448">
        <w:t xml:space="preserve"> </w:t>
      </w:r>
    </w:p>
    <w:p w:rsidR="00A72F7E" w:rsidRDefault="00A72F7E" w:rsidP="00347996">
      <w:pPr>
        <w:spacing w:after="0"/>
      </w:pPr>
    </w:p>
    <w:p w:rsidR="00A72F7E" w:rsidRPr="00640137" w:rsidRDefault="000B6BC8" w:rsidP="00347996">
      <w:pPr>
        <w:spacing w:after="0"/>
        <w:rPr>
          <w:u w:val="single"/>
        </w:rPr>
      </w:pPr>
      <w:r w:rsidRPr="00640137">
        <w:rPr>
          <w:u w:val="single"/>
        </w:rPr>
        <w:t>Part 1 – General Requirements</w:t>
      </w:r>
    </w:p>
    <w:p w:rsidR="000B6BC8" w:rsidRDefault="000B6BC8" w:rsidP="00347996">
      <w:pPr>
        <w:spacing w:after="0"/>
      </w:pPr>
      <w:r>
        <w:lastRenderedPageBreak/>
        <w:t>This section of the Regulation requires Scholastic Canada to:</w:t>
      </w:r>
    </w:p>
    <w:p w:rsidR="000B6BC8" w:rsidRDefault="000B6BC8" w:rsidP="000B6BC8">
      <w:pPr>
        <w:pStyle w:val="ListParagraph"/>
        <w:numPr>
          <w:ilvl w:val="0"/>
          <w:numId w:val="1"/>
        </w:numPr>
        <w:spacing w:after="0"/>
      </w:pPr>
      <w:r>
        <w:t>Develop accessibility policies and a multi-year accessibility plan</w:t>
      </w:r>
    </w:p>
    <w:p w:rsidR="000B6BC8" w:rsidRDefault="000B6BC8" w:rsidP="000B6BC8">
      <w:pPr>
        <w:pStyle w:val="ListParagraph"/>
        <w:numPr>
          <w:ilvl w:val="0"/>
          <w:numId w:val="1"/>
        </w:numPr>
        <w:spacing w:after="0"/>
      </w:pPr>
      <w:r>
        <w:t>Report annually on the progress of the multi-year plan</w:t>
      </w:r>
    </w:p>
    <w:p w:rsidR="000B6BC8" w:rsidRDefault="000B6BC8" w:rsidP="000B6BC8">
      <w:pPr>
        <w:pStyle w:val="ListParagraph"/>
        <w:numPr>
          <w:ilvl w:val="0"/>
          <w:numId w:val="1"/>
        </w:numPr>
        <w:spacing w:after="0"/>
      </w:pPr>
      <w:r>
        <w:t>Ensure staff and volunteers have been trained on the Integrated Accessibility Standards Regulation and the Ontario Human Rights Code</w:t>
      </w:r>
    </w:p>
    <w:tbl>
      <w:tblPr>
        <w:tblStyle w:val="TableGrid"/>
        <w:tblpPr w:leftFromText="180" w:rightFromText="180" w:vertAnchor="text" w:horzAnchor="margin" w:tblpXSpec="center" w:tblpY="213"/>
        <w:tblW w:w="11458" w:type="dxa"/>
        <w:tblLayout w:type="fixed"/>
        <w:tblLook w:val="04A0" w:firstRow="1" w:lastRow="0" w:firstColumn="1" w:lastColumn="0" w:noHBand="0" w:noVBand="1"/>
      </w:tblPr>
      <w:tblGrid>
        <w:gridCol w:w="3362"/>
        <w:gridCol w:w="1619"/>
        <w:gridCol w:w="1790"/>
        <w:gridCol w:w="2267"/>
        <w:gridCol w:w="1418"/>
        <w:gridCol w:w="1002"/>
      </w:tblGrid>
      <w:tr w:rsidR="00210781" w:rsidTr="00210781">
        <w:trPr>
          <w:trHeight w:val="374"/>
        </w:trPr>
        <w:tc>
          <w:tcPr>
            <w:tcW w:w="3362" w:type="dxa"/>
          </w:tcPr>
          <w:p w:rsidR="00BE42FB" w:rsidRPr="008E38E9" w:rsidRDefault="00BE42FB" w:rsidP="00BE42FB">
            <w:pPr>
              <w:rPr>
                <w:b/>
              </w:rPr>
            </w:pPr>
            <w:r w:rsidRPr="008E38E9">
              <w:rPr>
                <w:b/>
              </w:rPr>
              <w:t>Regulatory Requirement</w:t>
            </w:r>
          </w:p>
        </w:tc>
        <w:tc>
          <w:tcPr>
            <w:tcW w:w="1619" w:type="dxa"/>
          </w:tcPr>
          <w:p w:rsidR="00BE42FB" w:rsidRPr="008E38E9" w:rsidRDefault="00BE42FB" w:rsidP="00BE42FB">
            <w:pPr>
              <w:rPr>
                <w:b/>
              </w:rPr>
            </w:pPr>
            <w:r w:rsidRPr="008E38E9">
              <w:rPr>
                <w:b/>
              </w:rPr>
              <w:t>Compliance Deadline</w:t>
            </w:r>
          </w:p>
        </w:tc>
        <w:tc>
          <w:tcPr>
            <w:tcW w:w="1790" w:type="dxa"/>
          </w:tcPr>
          <w:p w:rsidR="00BE42FB" w:rsidRPr="008E38E9" w:rsidRDefault="00BE42FB" w:rsidP="00BE42FB">
            <w:pPr>
              <w:rPr>
                <w:b/>
              </w:rPr>
            </w:pPr>
            <w:r w:rsidRPr="008E38E9">
              <w:rPr>
                <w:b/>
              </w:rPr>
              <w:t>Deliverables</w:t>
            </w:r>
          </w:p>
        </w:tc>
        <w:tc>
          <w:tcPr>
            <w:tcW w:w="2267" w:type="dxa"/>
          </w:tcPr>
          <w:p w:rsidR="00BE42FB" w:rsidRPr="008E38E9" w:rsidRDefault="00BE42FB" w:rsidP="00BE42FB">
            <w:pPr>
              <w:rPr>
                <w:b/>
              </w:rPr>
            </w:pPr>
            <w:r w:rsidRPr="008E38E9">
              <w:rPr>
                <w:b/>
              </w:rPr>
              <w:t>Progress to Date (Actions)</w:t>
            </w:r>
          </w:p>
        </w:tc>
        <w:tc>
          <w:tcPr>
            <w:tcW w:w="1418" w:type="dxa"/>
          </w:tcPr>
          <w:p w:rsidR="00BE42FB" w:rsidRPr="008E38E9" w:rsidRDefault="00BE42FB" w:rsidP="00BE42FB">
            <w:pPr>
              <w:rPr>
                <w:b/>
              </w:rPr>
            </w:pPr>
            <w:r w:rsidRPr="008E38E9">
              <w:rPr>
                <w:b/>
              </w:rPr>
              <w:t>Champions/Due Date</w:t>
            </w:r>
          </w:p>
        </w:tc>
        <w:tc>
          <w:tcPr>
            <w:tcW w:w="1002" w:type="dxa"/>
          </w:tcPr>
          <w:p w:rsidR="00BE42FB" w:rsidRPr="008E38E9" w:rsidRDefault="00BE42FB" w:rsidP="00BE42FB">
            <w:pPr>
              <w:rPr>
                <w:b/>
              </w:rPr>
            </w:pPr>
            <w:r w:rsidRPr="008E38E9">
              <w:rPr>
                <w:b/>
              </w:rPr>
              <w:t>Status</w:t>
            </w:r>
          </w:p>
        </w:tc>
      </w:tr>
      <w:tr w:rsidR="00210781" w:rsidTr="00210781">
        <w:trPr>
          <w:trHeight w:val="685"/>
        </w:trPr>
        <w:tc>
          <w:tcPr>
            <w:tcW w:w="3362" w:type="dxa"/>
          </w:tcPr>
          <w:p w:rsidR="00BE42FB" w:rsidRPr="00D17779" w:rsidRDefault="00BE42FB" w:rsidP="00BE42FB">
            <w:pPr>
              <w:rPr>
                <w:b/>
                <w:sz w:val="18"/>
                <w:szCs w:val="18"/>
              </w:rPr>
            </w:pPr>
            <w:r w:rsidRPr="00D17779">
              <w:rPr>
                <w:b/>
                <w:sz w:val="18"/>
                <w:szCs w:val="18"/>
              </w:rPr>
              <w:t>Develop accessibility policies</w:t>
            </w:r>
          </w:p>
          <w:p w:rsidR="00BE42FB" w:rsidRPr="00D17779" w:rsidRDefault="00BE42FB" w:rsidP="00BE42FB">
            <w:pPr>
              <w:rPr>
                <w:sz w:val="18"/>
                <w:szCs w:val="18"/>
              </w:rPr>
            </w:pPr>
            <w:r w:rsidRPr="00D17779">
              <w:rPr>
                <w:sz w:val="18"/>
                <w:szCs w:val="18"/>
              </w:rPr>
              <w:t>- Develop, implement and maintain policies about what the organization will do to meet the IASR requirements and become more accessible</w:t>
            </w:r>
          </w:p>
          <w:p w:rsidR="00BE42FB" w:rsidRPr="00D17779" w:rsidRDefault="00BE42FB" w:rsidP="00BE42FB">
            <w:pPr>
              <w:rPr>
                <w:sz w:val="18"/>
                <w:szCs w:val="18"/>
              </w:rPr>
            </w:pPr>
            <w:r w:rsidRPr="00D17779">
              <w:rPr>
                <w:sz w:val="18"/>
                <w:szCs w:val="18"/>
              </w:rPr>
              <w:t>- Statement of commitment</w:t>
            </w:r>
          </w:p>
          <w:p w:rsidR="00BE42FB" w:rsidRPr="00D17779" w:rsidRDefault="00BE42FB" w:rsidP="00BE42FB">
            <w:pPr>
              <w:rPr>
                <w:sz w:val="18"/>
                <w:szCs w:val="18"/>
              </w:rPr>
            </w:pPr>
            <w:r w:rsidRPr="00D17779">
              <w:rPr>
                <w:sz w:val="18"/>
                <w:szCs w:val="18"/>
              </w:rPr>
              <w:t>- Make policies available to the public</w:t>
            </w:r>
          </w:p>
        </w:tc>
        <w:tc>
          <w:tcPr>
            <w:tcW w:w="1619" w:type="dxa"/>
          </w:tcPr>
          <w:p w:rsidR="00BE42FB" w:rsidRPr="00D17779" w:rsidRDefault="00BE42FB" w:rsidP="00BE42FB">
            <w:pPr>
              <w:rPr>
                <w:sz w:val="18"/>
                <w:szCs w:val="18"/>
              </w:rPr>
            </w:pPr>
            <w:r w:rsidRPr="00D17779">
              <w:rPr>
                <w:sz w:val="18"/>
                <w:szCs w:val="18"/>
              </w:rPr>
              <w:t>January 1, 2014</w:t>
            </w:r>
          </w:p>
        </w:tc>
        <w:tc>
          <w:tcPr>
            <w:tcW w:w="1790" w:type="dxa"/>
          </w:tcPr>
          <w:p w:rsidR="00BE42FB" w:rsidRPr="00D17779" w:rsidRDefault="00BE42FB" w:rsidP="00BE42FB">
            <w:pPr>
              <w:rPr>
                <w:sz w:val="18"/>
                <w:szCs w:val="18"/>
              </w:rPr>
            </w:pPr>
            <w:r w:rsidRPr="00D17779">
              <w:rPr>
                <w:sz w:val="18"/>
                <w:szCs w:val="18"/>
              </w:rPr>
              <w:t>Update current AODA Customer Service Standard Policy to incorporate our statement of commitment and how we will meet the IASR requirements</w:t>
            </w:r>
          </w:p>
        </w:tc>
        <w:tc>
          <w:tcPr>
            <w:tcW w:w="2267" w:type="dxa"/>
          </w:tcPr>
          <w:p w:rsidR="00BE42FB" w:rsidRPr="00D17779" w:rsidRDefault="00BE42FB" w:rsidP="00BE42FB">
            <w:pPr>
              <w:rPr>
                <w:sz w:val="18"/>
                <w:szCs w:val="18"/>
              </w:rPr>
            </w:pPr>
            <w:r w:rsidRPr="00D17779">
              <w:rPr>
                <w:sz w:val="18"/>
                <w:szCs w:val="18"/>
              </w:rPr>
              <w:t>- Customer Service Standard Policy updated and posted on company website</w:t>
            </w:r>
          </w:p>
          <w:p w:rsidR="00BE42FB" w:rsidRPr="00D17779" w:rsidRDefault="00BE42FB" w:rsidP="00BE42FB">
            <w:pPr>
              <w:rPr>
                <w:sz w:val="18"/>
                <w:szCs w:val="18"/>
              </w:rPr>
            </w:pPr>
            <w:r w:rsidRPr="00D17779">
              <w:rPr>
                <w:sz w:val="18"/>
                <w:szCs w:val="18"/>
              </w:rPr>
              <w:t>- Statement of Commitment posted on company website</w:t>
            </w:r>
          </w:p>
        </w:tc>
        <w:tc>
          <w:tcPr>
            <w:tcW w:w="1418" w:type="dxa"/>
          </w:tcPr>
          <w:p w:rsidR="00BE42FB" w:rsidRPr="00D17779" w:rsidRDefault="00BE42FB" w:rsidP="00BE42FB">
            <w:pPr>
              <w:rPr>
                <w:sz w:val="18"/>
                <w:szCs w:val="18"/>
              </w:rPr>
            </w:pPr>
            <w:r w:rsidRPr="00D17779">
              <w:rPr>
                <w:sz w:val="18"/>
                <w:szCs w:val="18"/>
              </w:rPr>
              <w:t>Human Resources (December 2013)</w:t>
            </w:r>
          </w:p>
        </w:tc>
        <w:tc>
          <w:tcPr>
            <w:tcW w:w="1002" w:type="dxa"/>
          </w:tcPr>
          <w:p w:rsidR="00BE42FB" w:rsidRPr="00D17779" w:rsidRDefault="00BE42FB" w:rsidP="00BE42FB">
            <w:pPr>
              <w:rPr>
                <w:sz w:val="18"/>
                <w:szCs w:val="18"/>
              </w:rPr>
            </w:pPr>
            <w:r w:rsidRPr="00D17779">
              <w:rPr>
                <w:sz w:val="18"/>
                <w:szCs w:val="18"/>
              </w:rPr>
              <w:t>Complete</w:t>
            </w:r>
          </w:p>
        </w:tc>
      </w:tr>
      <w:tr w:rsidR="00210781" w:rsidTr="00210781">
        <w:trPr>
          <w:trHeight w:val="234"/>
        </w:trPr>
        <w:tc>
          <w:tcPr>
            <w:tcW w:w="3362" w:type="dxa"/>
          </w:tcPr>
          <w:p w:rsidR="00BE42FB" w:rsidRPr="00D17779" w:rsidRDefault="00BE42FB" w:rsidP="00BE42FB">
            <w:pPr>
              <w:rPr>
                <w:sz w:val="18"/>
                <w:szCs w:val="18"/>
              </w:rPr>
            </w:pPr>
            <w:r w:rsidRPr="00D17779">
              <w:rPr>
                <w:b/>
                <w:sz w:val="18"/>
                <w:szCs w:val="18"/>
              </w:rPr>
              <w:t>Develop a multi-year accessibility plan</w:t>
            </w:r>
          </w:p>
          <w:p w:rsidR="00BE42FB" w:rsidRPr="00D17779" w:rsidRDefault="00BE42FB" w:rsidP="00BE42FB">
            <w:pPr>
              <w:rPr>
                <w:sz w:val="18"/>
                <w:szCs w:val="18"/>
              </w:rPr>
            </w:pPr>
            <w:r w:rsidRPr="00D17779">
              <w:rPr>
                <w:sz w:val="18"/>
                <w:szCs w:val="18"/>
              </w:rPr>
              <w:t>- Establish, implement, maintain and document a multi-year accessibility plan</w:t>
            </w:r>
          </w:p>
          <w:p w:rsidR="00BE42FB" w:rsidRPr="00D17779" w:rsidRDefault="00BE42FB" w:rsidP="00BE42FB">
            <w:pPr>
              <w:rPr>
                <w:sz w:val="18"/>
                <w:szCs w:val="18"/>
              </w:rPr>
            </w:pPr>
            <w:r w:rsidRPr="00D17779">
              <w:rPr>
                <w:sz w:val="18"/>
                <w:szCs w:val="18"/>
              </w:rPr>
              <w:t>- Post multi-year accessibility plan on website and provide an accessible format, upon request</w:t>
            </w:r>
          </w:p>
        </w:tc>
        <w:tc>
          <w:tcPr>
            <w:tcW w:w="1619" w:type="dxa"/>
          </w:tcPr>
          <w:p w:rsidR="00BE42FB" w:rsidRPr="00D17779" w:rsidRDefault="00BE42FB" w:rsidP="00BE42FB">
            <w:pPr>
              <w:rPr>
                <w:sz w:val="18"/>
                <w:szCs w:val="18"/>
              </w:rPr>
            </w:pPr>
            <w:r w:rsidRPr="00D17779">
              <w:rPr>
                <w:sz w:val="18"/>
                <w:szCs w:val="18"/>
              </w:rPr>
              <w:t>January 1, 2014</w:t>
            </w:r>
          </w:p>
        </w:tc>
        <w:tc>
          <w:tcPr>
            <w:tcW w:w="1790" w:type="dxa"/>
          </w:tcPr>
          <w:p w:rsidR="00BE42FB" w:rsidRPr="00D17779" w:rsidRDefault="00BE42FB" w:rsidP="00BE42FB">
            <w:pPr>
              <w:rPr>
                <w:sz w:val="18"/>
                <w:szCs w:val="18"/>
              </w:rPr>
            </w:pPr>
            <w:r w:rsidRPr="00D17779">
              <w:rPr>
                <w:sz w:val="18"/>
                <w:szCs w:val="18"/>
              </w:rPr>
              <w:t>A multi-year accessibility plan that sets out how Scholastic will comply with requirements of IASR will be developed and posted on the website</w:t>
            </w:r>
          </w:p>
        </w:tc>
        <w:tc>
          <w:tcPr>
            <w:tcW w:w="2267" w:type="dxa"/>
          </w:tcPr>
          <w:p w:rsidR="00F85C18" w:rsidRPr="00D17779" w:rsidRDefault="00456CCC" w:rsidP="00F85C18">
            <w:pPr>
              <w:rPr>
                <w:sz w:val="18"/>
                <w:szCs w:val="18"/>
              </w:rPr>
            </w:pPr>
            <w:r w:rsidRPr="00D17779">
              <w:rPr>
                <w:sz w:val="18"/>
                <w:szCs w:val="18"/>
              </w:rPr>
              <w:t xml:space="preserve">- </w:t>
            </w:r>
            <w:r w:rsidR="00BE42FB" w:rsidRPr="00D17779">
              <w:rPr>
                <w:sz w:val="18"/>
                <w:szCs w:val="18"/>
              </w:rPr>
              <w:t>Multi-ye</w:t>
            </w:r>
            <w:r w:rsidR="00F85C18" w:rsidRPr="00D17779">
              <w:rPr>
                <w:sz w:val="18"/>
                <w:szCs w:val="18"/>
              </w:rPr>
              <w:t>ar accessibility plan developed</w:t>
            </w:r>
          </w:p>
          <w:p w:rsidR="00BE42FB" w:rsidRPr="00D17779" w:rsidRDefault="00F85C18" w:rsidP="00E45BDD">
            <w:pPr>
              <w:rPr>
                <w:sz w:val="18"/>
                <w:szCs w:val="18"/>
              </w:rPr>
            </w:pPr>
            <w:r w:rsidRPr="00D17779">
              <w:rPr>
                <w:sz w:val="18"/>
                <w:szCs w:val="18"/>
              </w:rPr>
              <w:t xml:space="preserve">- </w:t>
            </w:r>
            <w:r w:rsidR="00E45BDD">
              <w:rPr>
                <w:sz w:val="18"/>
                <w:szCs w:val="18"/>
              </w:rPr>
              <w:t>Multi-year Accessibility Plan posted on the website</w:t>
            </w:r>
            <w:r w:rsidR="00276FA3">
              <w:rPr>
                <w:sz w:val="18"/>
                <w:szCs w:val="18"/>
              </w:rPr>
              <w:t xml:space="preserve"> </w:t>
            </w:r>
          </w:p>
        </w:tc>
        <w:tc>
          <w:tcPr>
            <w:tcW w:w="1418" w:type="dxa"/>
          </w:tcPr>
          <w:p w:rsidR="00BE42FB" w:rsidRPr="00D17779" w:rsidRDefault="00BE42FB" w:rsidP="00BE42FB">
            <w:pPr>
              <w:rPr>
                <w:sz w:val="18"/>
                <w:szCs w:val="18"/>
              </w:rPr>
            </w:pPr>
            <w:r w:rsidRPr="00D17779">
              <w:rPr>
                <w:sz w:val="18"/>
                <w:szCs w:val="18"/>
              </w:rPr>
              <w:t>Human Resources (December 2013)</w:t>
            </w:r>
          </w:p>
        </w:tc>
        <w:tc>
          <w:tcPr>
            <w:tcW w:w="1002" w:type="dxa"/>
          </w:tcPr>
          <w:p w:rsidR="00BE42FB" w:rsidRPr="00D17779" w:rsidRDefault="00E45BDD" w:rsidP="00F85C18">
            <w:pPr>
              <w:rPr>
                <w:sz w:val="18"/>
                <w:szCs w:val="18"/>
              </w:rPr>
            </w:pPr>
            <w:r>
              <w:rPr>
                <w:sz w:val="18"/>
                <w:szCs w:val="18"/>
              </w:rPr>
              <w:t>Complete</w:t>
            </w:r>
          </w:p>
        </w:tc>
      </w:tr>
      <w:tr w:rsidR="00210781" w:rsidTr="00210781">
        <w:trPr>
          <w:trHeight w:val="234"/>
        </w:trPr>
        <w:tc>
          <w:tcPr>
            <w:tcW w:w="3362" w:type="dxa"/>
          </w:tcPr>
          <w:p w:rsidR="00BE42FB" w:rsidRPr="00D17779" w:rsidRDefault="00BE42FB" w:rsidP="00BE42FB">
            <w:pPr>
              <w:rPr>
                <w:b/>
                <w:sz w:val="18"/>
                <w:szCs w:val="18"/>
              </w:rPr>
            </w:pPr>
            <w:r w:rsidRPr="00D17779">
              <w:rPr>
                <w:b/>
                <w:sz w:val="18"/>
                <w:szCs w:val="18"/>
              </w:rPr>
              <w:t>Training</w:t>
            </w:r>
          </w:p>
          <w:p w:rsidR="00BE42FB" w:rsidRPr="00D17779" w:rsidRDefault="00BE42FB" w:rsidP="00BE42FB">
            <w:pPr>
              <w:rPr>
                <w:sz w:val="18"/>
                <w:szCs w:val="18"/>
              </w:rPr>
            </w:pPr>
            <w:r w:rsidRPr="00D17779">
              <w:rPr>
                <w:sz w:val="18"/>
                <w:szCs w:val="18"/>
              </w:rPr>
              <w:t xml:space="preserve">- Ensure that training on the IASR and the Human Rights Code as it pertains to persons with disabilities is provided to employees, volunteers, third party contractors who provide goods/services on behalf of Scholastic Canada, and persons participating in the development and approval of Scholastic Canada’s policies </w:t>
            </w:r>
          </w:p>
        </w:tc>
        <w:tc>
          <w:tcPr>
            <w:tcW w:w="1619" w:type="dxa"/>
          </w:tcPr>
          <w:p w:rsidR="00BE42FB" w:rsidRPr="00D17779" w:rsidRDefault="00BE42FB" w:rsidP="00BE42FB">
            <w:pPr>
              <w:rPr>
                <w:sz w:val="18"/>
                <w:szCs w:val="18"/>
              </w:rPr>
            </w:pPr>
            <w:r w:rsidRPr="00D17779">
              <w:rPr>
                <w:sz w:val="18"/>
                <w:szCs w:val="18"/>
              </w:rPr>
              <w:t>January 1, 2015</w:t>
            </w:r>
          </w:p>
        </w:tc>
        <w:tc>
          <w:tcPr>
            <w:tcW w:w="1790" w:type="dxa"/>
          </w:tcPr>
          <w:p w:rsidR="00BE42FB" w:rsidRPr="00D17779" w:rsidRDefault="00BE42FB" w:rsidP="00BE42FB">
            <w:pPr>
              <w:rPr>
                <w:sz w:val="18"/>
                <w:szCs w:val="18"/>
              </w:rPr>
            </w:pPr>
            <w:r w:rsidRPr="00D17779">
              <w:rPr>
                <w:sz w:val="18"/>
                <w:szCs w:val="18"/>
              </w:rPr>
              <w:t>- Develop appropriate training content</w:t>
            </w:r>
          </w:p>
          <w:p w:rsidR="00BE42FB" w:rsidRPr="00D17779" w:rsidRDefault="00BE42FB" w:rsidP="00BE42FB">
            <w:pPr>
              <w:rPr>
                <w:sz w:val="18"/>
                <w:szCs w:val="18"/>
              </w:rPr>
            </w:pPr>
            <w:r w:rsidRPr="00D17779">
              <w:rPr>
                <w:sz w:val="18"/>
                <w:szCs w:val="18"/>
              </w:rPr>
              <w:t>- Deliver training throughout 2014</w:t>
            </w:r>
          </w:p>
          <w:p w:rsidR="00BE42FB" w:rsidRPr="00D17779" w:rsidRDefault="00BE42FB" w:rsidP="00BE42FB">
            <w:pPr>
              <w:rPr>
                <w:sz w:val="18"/>
                <w:szCs w:val="18"/>
              </w:rPr>
            </w:pPr>
            <w:r w:rsidRPr="00D17779">
              <w:rPr>
                <w:sz w:val="18"/>
                <w:szCs w:val="18"/>
              </w:rPr>
              <w:t>- Revise HR guidelines to include AODA review</w:t>
            </w:r>
          </w:p>
          <w:p w:rsidR="00BE42FB" w:rsidRPr="00D17779" w:rsidRDefault="00BE42FB" w:rsidP="00BE42FB">
            <w:pPr>
              <w:rPr>
                <w:sz w:val="18"/>
                <w:szCs w:val="18"/>
              </w:rPr>
            </w:pPr>
            <w:r w:rsidRPr="00D17779">
              <w:rPr>
                <w:sz w:val="18"/>
                <w:szCs w:val="18"/>
              </w:rPr>
              <w:t>- Ensure that training is provided on any changes to the prescribed policies on an ongoing basis</w:t>
            </w:r>
          </w:p>
        </w:tc>
        <w:tc>
          <w:tcPr>
            <w:tcW w:w="2267" w:type="dxa"/>
          </w:tcPr>
          <w:p w:rsidR="00BE42FB" w:rsidRPr="00D17779" w:rsidRDefault="00BE42FB" w:rsidP="00BE42FB">
            <w:pPr>
              <w:rPr>
                <w:sz w:val="18"/>
                <w:szCs w:val="18"/>
              </w:rPr>
            </w:pPr>
            <w:r w:rsidRPr="00D17779">
              <w:rPr>
                <w:sz w:val="18"/>
                <w:szCs w:val="18"/>
              </w:rPr>
              <w:t>Maintain a record of the training provided, including the dates that the training was provided and the number of individuals to whom it was provided</w:t>
            </w:r>
          </w:p>
        </w:tc>
        <w:tc>
          <w:tcPr>
            <w:tcW w:w="1418" w:type="dxa"/>
          </w:tcPr>
          <w:p w:rsidR="00BE42FB" w:rsidRPr="00D17779" w:rsidRDefault="00BE42FB" w:rsidP="00BE42FB">
            <w:pPr>
              <w:rPr>
                <w:sz w:val="18"/>
                <w:szCs w:val="18"/>
              </w:rPr>
            </w:pPr>
            <w:r w:rsidRPr="00D17779">
              <w:rPr>
                <w:sz w:val="18"/>
                <w:szCs w:val="18"/>
              </w:rPr>
              <w:t>Human Resources (December 2014)</w:t>
            </w:r>
          </w:p>
        </w:tc>
        <w:tc>
          <w:tcPr>
            <w:tcW w:w="1002" w:type="dxa"/>
          </w:tcPr>
          <w:p w:rsidR="00BE42FB" w:rsidRPr="00D17779" w:rsidRDefault="00BE42FB" w:rsidP="00BE42FB">
            <w:pPr>
              <w:rPr>
                <w:sz w:val="18"/>
                <w:szCs w:val="18"/>
              </w:rPr>
            </w:pPr>
            <w:r w:rsidRPr="00D17779">
              <w:rPr>
                <w:sz w:val="18"/>
                <w:szCs w:val="18"/>
              </w:rPr>
              <w:t>Complete</w:t>
            </w:r>
          </w:p>
        </w:tc>
      </w:tr>
      <w:tr w:rsidR="00210781" w:rsidTr="00210781">
        <w:trPr>
          <w:trHeight w:val="220"/>
        </w:trPr>
        <w:tc>
          <w:tcPr>
            <w:tcW w:w="3362" w:type="dxa"/>
          </w:tcPr>
          <w:p w:rsidR="00BE42FB" w:rsidRPr="00051E7D" w:rsidRDefault="00BE42FB" w:rsidP="00BE42FB">
            <w:pPr>
              <w:rPr>
                <w:b/>
                <w:sz w:val="18"/>
                <w:szCs w:val="18"/>
              </w:rPr>
            </w:pPr>
            <w:r w:rsidRPr="00051E7D">
              <w:rPr>
                <w:b/>
                <w:sz w:val="18"/>
                <w:szCs w:val="18"/>
              </w:rPr>
              <w:t>Self-Service Kiosks</w:t>
            </w:r>
          </w:p>
          <w:p w:rsidR="00BE42FB" w:rsidRDefault="00BE42FB" w:rsidP="00BE42FB">
            <w:pPr>
              <w:rPr>
                <w:sz w:val="18"/>
                <w:szCs w:val="18"/>
              </w:rPr>
            </w:pPr>
            <w:r>
              <w:rPr>
                <w:sz w:val="18"/>
                <w:szCs w:val="18"/>
              </w:rPr>
              <w:t>- Should Scholastic Canada design, procure, or acquire any self-service kiosks on or after January 1, 2014, we will have regard to the accessibility for persons with disabilities</w:t>
            </w:r>
          </w:p>
          <w:p w:rsidR="00BE42FB" w:rsidRPr="008C7666" w:rsidRDefault="00BE42FB" w:rsidP="00BE42FB">
            <w:pPr>
              <w:rPr>
                <w:sz w:val="18"/>
                <w:szCs w:val="18"/>
              </w:rPr>
            </w:pPr>
            <w:r>
              <w:rPr>
                <w:sz w:val="18"/>
                <w:szCs w:val="18"/>
              </w:rPr>
              <w:t>- We will ensure that any employees involved in the procurement or acquisition are apprised of the need to consider accessibility features in choosing the appropriate self-service kiosk</w:t>
            </w:r>
          </w:p>
        </w:tc>
        <w:tc>
          <w:tcPr>
            <w:tcW w:w="1619" w:type="dxa"/>
          </w:tcPr>
          <w:p w:rsidR="00BE42FB" w:rsidRPr="008C7666" w:rsidRDefault="00BE42FB" w:rsidP="00BE42FB">
            <w:pPr>
              <w:rPr>
                <w:sz w:val="18"/>
                <w:szCs w:val="18"/>
              </w:rPr>
            </w:pPr>
            <w:r>
              <w:rPr>
                <w:sz w:val="18"/>
                <w:szCs w:val="18"/>
              </w:rPr>
              <w:t>January 1, 2015</w:t>
            </w:r>
          </w:p>
        </w:tc>
        <w:tc>
          <w:tcPr>
            <w:tcW w:w="1790" w:type="dxa"/>
          </w:tcPr>
          <w:p w:rsidR="00BE42FB" w:rsidRPr="00B065AE" w:rsidRDefault="00BE42FB" w:rsidP="00BE42FB">
            <w:pPr>
              <w:rPr>
                <w:sz w:val="18"/>
                <w:szCs w:val="18"/>
              </w:rPr>
            </w:pPr>
            <w:r>
              <w:rPr>
                <w:sz w:val="18"/>
                <w:szCs w:val="18"/>
              </w:rPr>
              <w:t>- If we do purchase a self-service kiosk, we will develop a plan on the procuring/acquiring of accessible self-serve kiosks</w:t>
            </w:r>
          </w:p>
        </w:tc>
        <w:tc>
          <w:tcPr>
            <w:tcW w:w="2267" w:type="dxa"/>
          </w:tcPr>
          <w:p w:rsidR="00BE42FB" w:rsidRPr="008C7666" w:rsidRDefault="00BE42FB" w:rsidP="00BE42FB">
            <w:pPr>
              <w:rPr>
                <w:sz w:val="18"/>
                <w:szCs w:val="18"/>
              </w:rPr>
            </w:pPr>
            <w:r>
              <w:rPr>
                <w:sz w:val="18"/>
                <w:szCs w:val="18"/>
              </w:rPr>
              <w:t xml:space="preserve">No self-service kiosks have been purchased </w:t>
            </w:r>
          </w:p>
        </w:tc>
        <w:tc>
          <w:tcPr>
            <w:tcW w:w="1418" w:type="dxa"/>
          </w:tcPr>
          <w:p w:rsidR="00BE42FB" w:rsidRPr="008C7666" w:rsidRDefault="00BE42FB" w:rsidP="00BE42FB">
            <w:pPr>
              <w:rPr>
                <w:sz w:val="18"/>
                <w:szCs w:val="18"/>
              </w:rPr>
            </w:pPr>
            <w:r>
              <w:rPr>
                <w:sz w:val="18"/>
                <w:szCs w:val="18"/>
              </w:rPr>
              <w:t>N/A</w:t>
            </w:r>
          </w:p>
        </w:tc>
        <w:tc>
          <w:tcPr>
            <w:tcW w:w="1002" w:type="dxa"/>
          </w:tcPr>
          <w:p w:rsidR="00BE42FB" w:rsidRPr="008C7666" w:rsidRDefault="00BE42FB" w:rsidP="00BE42FB">
            <w:pPr>
              <w:rPr>
                <w:sz w:val="18"/>
                <w:szCs w:val="18"/>
              </w:rPr>
            </w:pPr>
            <w:r>
              <w:rPr>
                <w:sz w:val="18"/>
                <w:szCs w:val="18"/>
              </w:rPr>
              <w:t>N/A</w:t>
            </w:r>
          </w:p>
        </w:tc>
      </w:tr>
    </w:tbl>
    <w:p w:rsidR="00BE42FB" w:rsidRDefault="00BE42FB" w:rsidP="00BE42FB">
      <w:pPr>
        <w:spacing w:after="0"/>
      </w:pPr>
    </w:p>
    <w:p w:rsidR="00210781" w:rsidRDefault="00210781" w:rsidP="00BE42FB">
      <w:pPr>
        <w:spacing w:after="0"/>
      </w:pPr>
    </w:p>
    <w:p w:rsidR="00BE42FB" w:rsidRPr="00640137" w:rsidRDefault="00BE42FB" w:rsidP="00BE42FB">
      <w:pPr>
        <w:spacing w:after="0"/>
        <w:rPr>
          <w:u w:val="single"/>
        </w:rPr>
      </w:pPr>
      <w:r>
        <w:rPr>
          <w:u w:val="single"/>
        </w:rPr>
        <w:t>Part 2</w:t>
      </w:r>
      <w:r w:rsidRPr="00640137">
        <w:rPr>
          <w:u w:val="single"/>
        </w:rPr>
        <w:t xml:space="preserve"> – </w:t>
      </w:r>
      <w:r>
        <w:rPr>
          <w:u w:val="single"/>
        </w:rPr>
        <w:t>Information and Communication Standards</w:t>
      </w:r>
    </w:p>
    <w:p w:rsidR="00BE42FB" w:rsidRDefault="00BE42FB" w:rsidP="00BE42FB">
      <w:pPr>
        <w:spacing w:after="0"/>
      </w:pPr>
      <w:r>
        <w:lastRenderedPageBreak/>
        <w:t xml:space="preserve">This section of the Regulation </w:t>
      </w:r>
      <w:r w:rsidR="001B0949">
        <w:t>includes requirements related to:</w:t>
      </w:r>
    </w:p>
    <w:p w:rsidR="001B0949" w:rsidRDefault="001B0949" w:rsidP="001B0949">
      <w:pPr>
        <w:pStyle w:val="ListParagraph"/>
        <w:numPr>
          <w:ilvl w:val="0"/>
          <w:numId w:val="16"/>
        </w:numPr>
        <w:spacing w:after="0"/>
      </w:pPr>
      <w:r>
        <w:t>Accessible websites and web content</w:t>
      </w:r>
    </w:p>
    <w:p w:rsidR="001B0949" w:rsidRDefault="001B0949" w:rsidP="001B0949">
      <w:pPr>
        <w:pStyle w:val="ListParagraph"/>
        <w:numPr>
          <w:ilvl w:val="0"/>
          <w:numId w:val="16"/>
        </w:numPr>
        <w:spacing w:after="0"/>
      </w:pPr>
      <w:r>
        <w:t>Accessible feedback processes</w:t>
      </w:r>
    </w:p>
    <w:p w:rsidR="001B0949" w:rsidRDefault="001B0949" w:rsidP="001B0949">
      <w:pPr>
        <w:pStyle w:val="ListParagraph"/>
        <w:numPr>
          <w:ilvl w:val="0"/>
          <w:numId w:val="16"/>
        </w:numPr>
        <w:spacing w:after="0"/>
      </w:pPr>
      <w:r>
        <w:t>Accessible formats and communication supports</w:t>
      </w:r>
    </w:p>
    <w:tbl>
      <w:tblPr>
        <w:tblStyle w:val="TableGrid"/>
        <w:tblW w:w="11561" w:type="dxa"/>
        <w:tblInd w:w="-885" w:type="dxa"/>
        <w:tblLayout w:type="fixed"/>
        <w:tblLook w:val="04A0" w:firstRow="1" w:lastRow="0" w:firstColumn="1" w:lastColumn="0" w:noHBand="0" w:noVBand="1"/>
      </w:tblPr>
      <w:tblGrid>
        <w:gridCol w:w="4062"/>
        <w:gridCol w:w="1694"/>
        <w:gridCol w:w="2117"/>
        <w:gridCol w:w="1271"/>
        <w:gridCol w:w="1368"/>
        <w:gridCol w:w="1049"/>
      </w:tblGrid>
      <w:tr w:rsidR="00EB4CC7" w:rsidTr="00210781">
        <w:trPr>
          <w:trHeight w:val="595"/>
        </w:trPr>
        <w:tc>
          <w:tcPr>
            <w:tcW w:w="4062" w:type="dxa"/>
          </w:tcPr>
          <w:p w:rsidR="0014542D" w:rsidRPr="0014542D" w:rsidRDefault="0014542D" w:rsidP="001B0949">
            <w:pPr>
              <w:rPr>
                <w:b/>
              </w:rPr>
            </w:pPr>
            <w:r w:rsidRPr="0014542D">
              <w:rPr>
                <w:b/>
              </w:rPr>
              <w:t>Regulatory Requirement</w:t>
            </w:r>
          </w:p>
        </w:tc>
        <w:tc>
          <w:tcPr>
            <w:tcW w:w="1694" w:type="dxa"/>
          </w:tcPr>
          <w:p w:rsidR="0014542D" w:rsidRPr="0014542D" w:rsidRDefault="0014542D" w:rsidP="001B0949">
            <w:pPr>
              <w:rPr>
                <w:b/>
              </w:rPr>
            </w:pPr>
            <w:r w:rsidRPr="0014542D">
              <w:rPr>
                <w:b/>
              </w:rPr>
              <w:t>Compliance Deadline</w:t>
            </w:r>
          </w:p>
        </w:tc>
        <w:tc>
          <w:tcPr>
            <w:tcW w:w="2117" w:type="dxa"/>
          </w:tcPr>
          <w:p w:rsidR="0014542D" w:rsidRPr="0014542D" w:rsidRDefault="0014542D" w:rsidP="001B0949">
            <w:pPr>
              <w:rPr>
                <w:b/>
              </w:rPr>
            </w:pPr>
            <w:r w:rsidRPr="0014542D">
              <w:rPr>
                <w:b/>
              </w:rPr>
              <w:t>Deliverables</w:t>
            </w:r>
          </w:p>
        </w:tc>
        <w:tc>
          <w:tcPr>
            <w:tcW w:w="1271" w:type="dxa"/>
          </w:tcPr>
          <w:p w:rsidR="0014542D" w:rsidRPr="0014542D" w:rsidRDefault="0014542D" w:rsidP="001B0949">
            <w:pPr>
              <w:rPr>
                <w:b/>
              </w:rPr>
            </w:pPr>
            <w:r w:rsidRPr="0014542D">
              <w:rPr>
                <w:b/>
              </w:rPr>
              <w:t>Progress to Date (Actions)</w:t>
            </w:r>
          </w:p>
        </w:tc>
        <w:tc>
          <w:tcPr>
            <w:tcW w:w="1368" w:type="dxa"/>
          </w:tcPr>
          <w:p w:rsidR="0014542D" w:rsidRPr="0014542D" w:rsidRDefault="0014542D" w:rsidP="001B0949">
            <w:pPr>
              <w:rPr>
                <w:b/>
              </w:rPr>
            </w:pPr>
            <w:r w:rsidRPr="0014542D">
              <w:rPr>
                <w:b/>
              </w:rPr>
              <w:t>Champion/Due Date</w:t>
            </w:r>
          </w:p>
        </w:tc>
        <w:tc>
          <w:tcPr>
            <w:tcW w:w="1049" w:type="dxa"/>
          </w:tcPr>
          <w:p w:rsidR="0014542D" w:rsidRPr="0014542D" w:rsidRDefault="0014542D" w:rsidP="001B0949">
            <w:pPr>
              <w:rPr>
                <w:b/>
              </w:rPr>
            </w:pPr>
            <w:r w:rsidRPr="0014542D">
              <w:rPr>
                <w:b/>
              </w:rPr>
              <w:t>Status</w:t>
            </w:r>
          </w:p>
        </w:tc>
      </w:tr>
      <w:tr w:rsidR="00EB4CC7" w:rsidTr="00210781">
        <w:trPr>
          <w:trHeight w:val="3447"/>
        </w:trPr>
        <w:tc>
          <w:tcPr>
            <w:tcW w:w="4062" w:type="dxa"/>
          </w:tcPr>
          <w:p w:rsidR="0014542D" w:rsidRPr="00D17779" w:rsidRDefault="0014542D" w:rsidP="001B0949">
            <w:pPr>
              <w:rPr>
                <w:b/>
                <w:sz w:val="18"/>
                <w:szCs w:val="18"/>
              </w:rPr>
            </w:pPr>
            <w:r w:rsidRPr="00D17779">
              <w:rPr>
                <w:b/>
                <w:sz w:val="18"/>
                <w:szCs w:val="18"/>
              </w:rPr>
              <w:t>Accessible websites and web content</w:t>
            </w:r>
          </w:p>
          <w:p w:rsidR="0014542D" w:rsidRPr="00D17779" w:rsidRDefault="0014542D" w:rsidP="001B0949">
            <w:pPr>
              <w:rPr>
                <w:sz w:val="18"/>
                <w:szCs w:val="18"/>
              </w:rPr>
            </w:pPr>
            <w:r w:rsidRPr="00D17779">
              <w:rPr>
                <w:sz w:val="18"/>
                <w:szCs w:val="18"/>
              </w:rPr>
              <w:t>- Websites and web content to conform to WCAG 2.0 Level A/AA</w:t>
            </w:r>
          </w:p>
        </w:tc>
        <w:tc>
          <w:tcPr>
            <w:tcW w:w="1694" w:type="dxa"/>
          </w:tcPr>
          <w:p w:rsidR="0014542D" w:rsidRPr="00D17779" w:rsidRDefault="0014542D" w:rsidP="001B0949">
            <w:pPr>
              <w:rPr>
                <w:sz w:val="18"/>
                <w:szCs w:val="18"/>
              </w:rPr>
            </w:pPr>
            <w:r w:rsidRPr="00D17779">
              <w:rPr>
                <w:sz w:val="18"/>
                <w:szCs w:val="18"/>
              </w:rPr>
              <w:t>January 1, 2014 – January 1, 2021</w:t>
            </w:r>
          </w:p>
        </w:tc>
        <w:tc>
          <w:tcPr>
            <w:tcW w:w="2117" w:type="dxa"/>
          </w:tcPr>
          <w:p w:rsidR="0014542D" w:rsidRPr="00D17779" w:rsidRDefault="00F50E4A" w:rsidP="001B0949">
            <w:pPr>
              <w:rPr>
                <w:sz w:val="18"/>
                <w:szCs w:val="18"/>
              </w:rPr>
            </w:pPr>
            <w:r w:rsidRPr="00D17779">
              <w:rPr>
                <w:sz w:val="18"/>
                <w:szCs w:val="18"/>
              </w:rPr>
              <w:t xml:space="preserve">- Train all key staff on WCAG 2.0 guidelines </w:t>
            </w:r>
          </w:p>
          <w:p w:rsidR="00F50E4A" w:rsidRPr="00D17779" w:rsidRDefault="00F50E4A" w:rsidP="001B0949">
            <w:pPr>
              <w:rPr>
                <w:sz w:val="18"/>
                <w:szCs w:val="18"/>
              </w:rPr>
            </w:pPr>
            <w:r w:rsidRPr="00D17779">
              <w:rPr>
                <w:sz w:val="18"/>
                <w:szCs w:val="18"/>
              </w:rPr>
              <w:t>- Identify new websites and new web content to be deployed</w:t>
            </w:r>
          </w:p>
          <w:p w:rsidR="00F50E4A" w:rsidRPr="00D17779" w:rsidRDefault="00F50E4A" w:rsidP="001B0949">
            <w:pPr>
              <w:rPr>
                <w:sz w:val="18"/>
                <w:szCs w:val="18"/>
              </w:rPr>
            </w:pPr>
            <w:r w:rsidRPr="00D17779">
              <w:rPr>
                <w:sz w:val="18"/>
                <w:szCs w:val="18"/>
              </w:rPr>
              <w:t>- Develop project plans for new sites/web content that required (at a minimum) WCAG Level A compliance for websites/web content being deployed in 2014</w:t>
            </w:r>
          </w:p>
        </w:tc>
        <w:tc>
          <w:tcPr>
            <w:tcW w:w="1271" w:type="dxa"/>
          </w:tcPr>
          <w:p w:rsidR="0014542D" w:rsidRPr="00D17779" w:rsidRDefault="00DF1746" w:rsidP="00D17779">
            <w:pPr>
              <w:rPr>
                <w:sz w:val="18"/>
                <w:szCs w:val="18"/>
              </w:rPr>
            </w:pPr>
            <w:r w:rsidRPr="00D17779">
              <w:rPr>
                <w:sz w:val="18"/>
                <w:szCs w:val="18"/>
              </w:rPr>
              <w:t xml:space="preserve">- In Progress </w:t>
            </w:r>
          </w:p>
        </w:tc>
        <w:tc>
          <w:tcPr>
            <w:tcW w:w="1368" w:type="dxa"/>
          </w:tcPr>
          <w:p w:rsidR="009919AD" w:rsidRPr="00D17779" w:rsidRDefault="008E74E8" w:rsidP="001B0949">
            <w:pPr>
              <w:rPr>
                <w:sz w:val="18"/>
                <w:szCs w:val="18"/>
              </w:rPr>
            </w:pPr>
            <w:r>
              <w:rPr>
                <w:sz w:val="18"/>
                <w:szCs w:val="18"/>
              </w:rPr>
              <w:t>All departments (December 2020</w:t>
            </w:r>
            <w:r w:rsidR="00D17779" w:rsidRPr="00D17779">
              <w:rPr>
                <w:sz w:val="18"/>
                <w:szCs w:val="18"/>
              </w:rPr>
              <w:t>)</w:t>
            </w:r>
          </w:p>
        </w:tc>
        <w:tc>
          <w:tcPr>
            <w:tcW w:w="1049" w:type="dxa"/>
          </w:tcPr>
          <w:p w:rsidR="0014542D" w:rsidRPr="0014542D" w:rsidRDefault="00F50E4A" w:rsidP="001B0949">
            <w:pPr>
              <w:rPr>
                <w:sz w:val="18"/>
                <w:szCs w:val="18"/>
              </w:rPr>
            </w:pPr>
            <w:r>
              <w:rPr>
                <w:sz w:val="18"/>
                <w:szCs w:val="18"/>
              </w:rPr>
              <w:t>In Progress</w:t>
            </w:r>
          </w:p>
        </w:tc>
      </w:tr>
      <w:tr w:rsidR="00EB4CC7" w:rsidTr="00210781">
        <w:trPr>
          <w:trHeight w:val="1975"/>
        </w:trPr>
        <w:tc>
          <w:tcPr>
            <w:tcW w:w="4062" w:type="dxa"/>
          </w:tcPr>
          <w:p w:rsidR="0014542D" w:rsidRDefault="00855780" w:rsidP="001B0949">
            <w:pPr>
              <w:rPr>
                <w:sz w:val="18"/>
                <w:szCs w:val="18"/>
              </w:rPr>
            </w:pPr>
            <w:r>
              <w:rPr>
                <w:b/>
                <w:sz w:val="18"/>
                <w:szCs w:val="18"/>
              </w:rPr>
              <w:t>Feedback processes</w:t>
            </w:r>
          </w:p>
          <w:p w:rsidR="00855780" w:rsidRDefault="00855780" w:rsidP="001B0949">
            <w:pPr>
              <w:rPr>
                <w:sz w:val="18"/>
                <w:szCs w:val="18"/>
              </w:rPr>
            </w:pPr>
            <w:r>
              <w:rPr>
                <w:sz w:val="18"/>
                <w:szCs w:val="18"/>
              </w:rPr>
              <w:t>- Ensure that processes for receiving and responding to feedback are accessible to persons with disabilities by providing/arranging for accessible formats and communication supports, upon request</w:t>
            </w:r>
          </w:p>
          <w:p w:rsidR="00855780" w:rsidRPr="00855780" w:rsidRDefault="00855780" w:rsidP="001B0949">
            <w:pPr>
              <w:rPr>
                <w:sz w:val="18"/>
                <w:szCs w:val="18"/>
              </w:rPr>
            </w:pPr>
            <w:r>
              <w:rPr>
                <w:sz w:val="18"/>
                <w:szCs w:val="18"/>
              </w:rPr>
              <w:t>- Notify the public about the availability of accessible formats and communication supports</w:t>
            </w:r>
          </w:p>
        </w:tc>
        <w:tc>
          <w:tcPr>
            <w:tcW w:w="1694" w:type="dxa"/>
          </w:tcPr>
          <w:p w:rsidR="0014542D" w:rsidRPr="0014542D" w:rsidRDefault="009919AD" w:rsidP="001B0949">
            <w:pPr>
              <w:rPr>
                <w:sz w:val="18"/>
                <w:szCs w:val="18"/>
              </w:rPr>
            </w:pPr>
            <w:r>
              <w:rPr>
                <w:sz w:val="18"/>
                <w:szCs w:val="18"/>
              </w:rPr>
              <w:t>January 1, 2015</w:t>
            </w:r>
          </w:p>
        </w:tc>
        <w:tc>
          <w:tcPr>
            <w:tcW w:w="2117" w:type="dxa"/>
          </w:tcPr>
          <w:p w:rsidR="0014542D" w:rsidRDefault="009919AD" w:rsidP="009919AD">
            <w:pPr>
              <w:rPr>
                <w:sz w:val="18"/>
                <w:szCs w:val="18"/>
              </w:rPr>
            </w:pPr>
            <w:r>
              <w:rPr>
                <w:sz w:val="18"/>
                <w:szCs w:val="18"/>
              </w:rPr>
              <w:t>- Document processes</w:t>
            </w:r>
          </w:p>
          <w:p w:rsidR="009919AD" w:rsidRPr="009919AD" w:rsidRDefault="009919AD" w:rsidP="009919AD">
            <w:pPr>
              <w:rPr>
                <w:sz w:val="18"/>
                <w:szCs w:val="18"/>
              </w:rPr>
            </w:pPr>
            <w:r>
              <w:rPr>
                <w:sz w:val="18"/>
                <w:szCs w:val="18"/>
              </w:rPr>
              <w:t>- Ensure Scholastic website incorporates an online feedback process and full accessibility in other formats, upon request</w:t>
            </w:r>
          </w:p>
        </w:tc>
        <w:tc>
          <w:tcPr>
            <w:tcW w:w="1271" w:type="dxa"/>
          </w:tcPr>
          <w:p w:rsidR="0014542D" w:rsidRPr="0014542D" w:rsidRDefault="0056298C" w:rsidP="001B0949">
            <w:pPr>
              <w:rPr>
                <w:sz w:val="18"/>
                <w:szCs w:val="18"/>
              </w:rPr>
            </w:pPr>
            <w:r>
              <w:rPr>
                <w:sz w:val="18"/>
                <w:szCs w:val="18"/>
              </w:rPr>
              <w:t>- Feedback form created and posted to Scholastic website, links directly to Human Resources email</w:t>
            </w:r>
          </w:p>
        </w:tc>
        <w:tc>
          <w:tcPr>
            <w:tcW w:w="1368" w:type="dxa"/>
          </w:tcPr>
          <w:p w:rsidR="0014542D" w:rsidRPr="0014542D" w:rsidRDefault="0056298C" w:rsidP="001B0949">
            <w:pPr>
              <w:rPr>
                <w:sz w:val="18"/>
                <w:szCs w:val="18"/>
              </w:rPr>
            </w:pPr>
            <w:r>
              <w:rPr>
                <w:sz w:val="18"/>
                <w:szCs w:val="18"/>
              </w:rPr>
              <w:t>- Human Resources (December 2011)</w:t>
            </w:r>
          </w:p>
        </w:tc>
        <w:tc>
          <w:tcPr>
            <w:tcW w:w="1049" w:type="dxa"/>
          </w:tcPr>
          <w:p w:rsidR="0014542D" w:rsidRPr="0014542D" w:rsidRDefault="007C3967" w:rsidP="001B0949">
            <w:pPr>
              <w:rPr>
                <w:sz w:val="18"/>
                <w:szCs w:val="18"/>
              </w:rPr>
            </w:pPr>
            <w:r>
              <w:rPr>
                <w:sz w:val="18"/>
                <w:szCs w:val="18"/>
              </w:rPr>
              <w:t>Complete</w:t>
            </w:r>
          </w:p>
        </w:tc>
      </w:tr>
      <w:tr w:rsidR="00EB4CC7" w:rsidTr="00210781">
        <w:trPr>
          <w:trHeight w:val="325"/>
        </w:trPr>
        <w:tc>
          <w:tcPr>
            <w:tcW w:w="4062" w:type="dxa"/>
          </w:tcPr>
          <w:p w:rsidR="0014542D" w:rsidRPr="00D17779" w:rsidRDefault="00D14E13" w:rsidP="001B0949">
            <w:pPr>
              <w:rPr>
                <w:b/>
                <w:sz w:val="18"/>
                <w:szCs w:val="18"/>
              </w:rPr>
            </w:pPr>
            <w:r w:rsidRPr="00D17779">
              <w:rPr>
                <w:b/>
                <w:sz w:val="18"/>
                <w:szCs w:val="18"/>
              </w:rPr>
              <w:t>Accessible formats and communication supports</w:t>
            </w:r>
          </w:p>
          <w:p w:rsidR="00D14E13" w:rsidRPr="00D17779" w:rsidRDefault="00D14E13" w:rsidP="001B0949">
            <w:pPr>
              <w:rPr>
                <w:sz w:val="18"/>
                <w:szCs w:val="18"/>
              </w:rPr>
            </w:pPr>
            <w:r w:rsidRPr="00D17779">
              <w:rPr>
                <w:sz w:val="18"/>
                <w:szCs w:val="18"/>
              </w:rPr>
              <w:t>- Upon request, provide for provision of accessible formats and communication supports for persons with disabilities</w:t>
            </w:r>
          </w:p>
          <w:p w:rsidR="00D14E13" w:rsidRPr="00D17779" w:rsidRDefault="00D14E13" w:rsidP="001B0949">
            <w:pPr>
              <w:rPr>
                <w:sz w:val="18"/>
                <w:szCs w:val="18"/>
              </w:rPr>
            </w:pPr>
            <w:r w:rsidRPr="00D17779">
              <w:rPr>
                <w:sz w:val="18"/>
                <w:szCs w:val="18"/>
              </w:rPr>
              <w:t>- Notify the public about the availability of accessible formats and communication supports</w:t>
            </w:r>
          </w:p>
        </w:tc>
        <w:tc>
          <w:tcPr>
            <w:tcW w:w="1694" w:type="dxa"/>
          </w:tcPr>
          <w:p w:rsidR="0014542D" w:rsidRPr="00D17779" w:rsidRDefault="00D14E13" w:rsidP="001B0949">
            <w:pPr>
              <w:rPr>
                <w:sz w:val="18"/>
                <w:szCs w:val="18"/>
              </w:rPr>
            </w:pPr>
            <w:r w:rsidRPr="00D17779">
              <w:rPr>
                <w:sz w:val="18"/>
                <w:szCs w:val="18"/>
              </w:rPr>
              <w:t>January 1, 2016</w:t>
            </w:r>
          </w:p>
        </w:tc>
        <w:tc>
          <w:tcPr>
            <w:tcW w:w="2117" w:type="dxa"/>
          </w:tcPr>
          <w:p w:rsidR="0014542D" w:rsidRPr="00D17779" w:rsidRDefault="00D14E13" w:rsidP="001B0949">
            <w:pPr>
              <w:rPr>
                <w:sz w:val="18"/>
                <w:szCs w:val="18"/>
              </w:rPr>
            </w:pPr>
            <w:r w:rsidRPr="00D17779">
              <w:rPr>
                <w:sz w:val="18"/>
                <w:szCs w:val="18"/>
              </w:rPr>
              <w:t>- All areas of Scholastic Canada to provide accessible formats and communication supports in a timely manner, at no additional cost</w:t>
            </w:r>
          </w:p>
        </w:tc>
        <w:tc>
          <w:tcPr>
            <w:tcW w:w="1271" w:type="dxa"/>
          </w:tcPr>
          <w:p w:rsidR="0014542D" w:rsidRPr="00D17779" w:rsidRDefault="00D14E13" w:rsidP="00CD0333">
            <w:pPr>
              <w:rPr>
                <w:sz w:val="18"/>
                <w:szCs w:val="18"/>
              </w:rPr>
            </w:pPr>
            <w:r w:rsidRPr="00D17779">
              <w:rPr>
                <w:sz w:val="18"/>
                <w:szCs w:val="18"/>
              </w:rPr>
              <w:t>-</w:t>
            </w:r>
            <w:r w:rsidR="00CD0333">
              <w:rPr>
                <w:sz w:val="18"/>
                <w:szCs w:val="18"/>
              </w:rPr>
              <w:t>Complete</w:t>
            </w:r>
          </w:p>
        </w:tc>
        <w:tc>
          <w:tcPr>
            <w:tcW w:w="1368" w:type="dxa"/>
          </w:tcPr>
          <w:p w:rsidR="0014542D" w:rsidRPr="0014542D" w:rsidRDefault="00D14E13" w:rsidP="001B0949">
            <w:pPr>
              <w:rPr>
                <w:sz w:val="18"/>
                <w:szCs w:val="18"/>
              </w:rPr>
            </w:pPr>
            <w:r>
              <w:rPr>
                <w:sz w:val="18"/>
                <w:szCs w:val="18"/>
              </w:rPr>
              <w:t>Human Resources</w:t>
            </w:r>
            <w:r w:rsidR="000D5232">
              <w:rPr>
                <w:sz w:val="18"/>
                <w:szCs w:val="18"/>
              </w:rPr>
              <w:t xml:space="preserve"> (November 2015)</w:t>
            </w:r>
          </w:p>
        </w:tc>
        <w:tc>
          <w:tcPr>
            <w:tcW w:w="1049" w:type="dxa"/>
          </w:tcPr>
          <w:p w:rsidR="0014542D" w:rsidRPr="0014542D" w:rsidRDefault="00CD0333" w:rsidP="001B0949">
            <w:pPr>
              <w:rPr>
                <w:sz w:val="18"/>
                <w:szCs w:val="18"/>
              </w:rPr>
            </w:pPr>
            <w:r>
              <w:rPr>
                <w:sz w:val="18"/>
                <w:szCs w:val="18"/>
              </w:rPr>
              <w:t>Complete</w:t>
            </w:r>
            <w:bookmarkStart w:id="0" w:name="_GoBack"/>
            <w:bookmarkEnd w:id="0"/>
          </w:p>
        </w:tc>
      </w:tr>
    </w:tbl>
    <w:p w:rsidR="00A914E1" w:rsidRDefault="00A914E1" w:rsidP="00B510DC">
      <w:pPr>
        <w:spacing w:after="0"/>
        <w:rPr>
          <w:u w:val="single"/>
        </w:rPr>
      </w:pPr>
    </w:p>
    <w:p w:rsidR="00BC68B7" w:rsidRDefault="00BC68B7" w:rsidP="00B510DC">
      <w:pPr>
        <w:spacing w:after="0"/>
        <w:rPr>
          <w:u w:val="single"/>
        </w:rPr>
      </w:pPr>
    </w:p>
    <w:p w:rsidR="00B510DC" w:rsidRPr="00640137" w:rsidRDefault="00B510DC" w:rsidP="00B510DC">
      <w:pPr>
        <w:spacing w:after="0"/>
        <w:rPr>
          <w:u w:val="single"/>
        </w:rPr>
      </w:pPr>
      <w:r>
        <w:rPr>
          <w:u w:val="single"/>
        </w:rPr>
        <w:t>Part 3</w:t>
      </w:r>
      <w:r w:rsidRPr="00640137">
        <w:rPr>
          <w:u w:val="single"/>
        </w:rPr>
        <w:t xml:space="preserve"> – </w:t>
      </w:r>
      <w:r>
        <w:rPr>
          <w:u w:val="single"/>
        </w:rPr>
        <w:t>Employment Standards</w:t>
      </w:r>
    </w:p>
    <w:p w:rsidR="00B510DC" w:rsidRDefault="00B510DC" w:rsidP="00B510DC">
      <w:pPr>
        <w:spacing w:after="0"/>
      </w:pPr>
      <w:r>
        <w:t>This section of the Regulation includes requirements related to:</w:t>
      </w:r>
    </w:p>
    <w:p w:rsidR="00B510DC" w:rsidRDefault="005C5F69" w:rsidP="00B510DC">
      <w:pPr>
        <w:pStyle w:val="ListParagraph"/>
        <w:numPr>
          <w:ilvl w:val="0"/>
          <w:numId w:val="16"/>
        </w:numPr>
        <w:spacing w:after="0"/>
      </w:pPr>
      <w:r>
        <w:t>Recruitment, assessment and selection</w:t>
      </w:r>
    </w:p>
    <w:p w:rsidR="005C5F69" w:rsidRDefault="005C5F69" w:rsidP="00B510DC">
      <w:pPr>
        <w:pStyle w:val="ListParagraph"/>
        <w:numPr>
          <w:ilvl w:val="0"/>
          <w:numId w:val="16"/>
        </w:numPr>
        <w:spacing w:after="0"/>
      </w:pPr>
      <w:r>
        <w:t>Accessible formats and communication supports for employees</w:t>
      </w:r>
    </w:p>
    <w:p w:rsidR="005C5F69" w:rsidRDefault="005C5F69" w:rsidP="00B510DC">
      <w:pPr>
        <w:pStyle w:val="ListParagraph"/>
        <w:numPr>
          <w:ilvl w:val="0"/>
          <w:numId w:val="16"/>
        </w:numPr>
        <w:spacing w:after="0"/>
      </w:pPr>
      <w:r>
        <w:t>Workplace emergency response</w:t>
      </w:r>
    </w:p>
    <w:p w:rsidR="005C5F69" w:rsidRDefault="005C5F69" w:rsidP="00B510DC">
      <w:pPr>
        <w:pStyle w:val="ListParagraph"/>
        <w:numPr>
          <w:ilvl w:val="0"/>
          <w:numId w:val="16"/>
        </w:numPr>
        <w:spacing w:after="0"/>
      </w:pPr>
      <w:r>
        <w:t>Return to work processes</w:t>
      </w:r>
    </w:p>
    <w:p w:rsidR="005C5F69" w:rsidRDefault="005C5F69" w:rsidP="005C5F69">
      <w:pPr>
        <w:pStyle w:val="ListParagraph"/>
        <w:numPr>
          <w:ilvl w:val="0"/>
          <w:numId w:val="16"/>
        </w:numPr>
        <w:spacing w:after="0"/>
      </w:pPr>
      <w:r>
        <w:t>Performance management, career development, and redeployment</w:t>
      </w:r>
    </w:p>
    <w:p w:rsidR="00BC68B7" w:rsidRDefault="00BC68B7" w:rsidP="00BC68B7">
      <w:pPr>
        <w:pStyle w:val="ListParagraph"/>
        <w:spacing w:after="0"/>
      </w:pPr>
    </w:p>
    <w:tbl>
      <w:tblPr>
        <w:tblStyle w:val="TableGrid"/>
        <w:tblW w:w="11483" w:type="dxa"/>
        <w:tblInd w:w="-743" w:type="dxa"/>
        <w:tblLayout w:type="fixed"/>
        <w:tblLook w:val="04A0" w:firstRow="1" w:lastRow="0" w:firstColumn="1" w:lastColumn="0" w:noHBand="0" w:noVBand="1"/>
      </w:tblPr>
      <w:tblGrid>
        <w:gridCol w:w="3686"/>
        <w:gridCol w:w="1560"/>
        <w:gridCol w:w="2409"/>
        <w:gridCol w:w="1134"/>
        <w:gridCol w:w="1276"/>
        <w:gridCol w:w="1418"/>
      </w:tblGrid>
      <w:tr w:rsidR="005C5F69" w:rsidRPr="005C5F69" w:rsidTr="00A914E1">
        <w:trPr>
          <w:trHeight w:val="294"/>
        </w:trPr>
        <w:tc>
          <w:tcPr>
            <w:tcW w:w="3686" w:type="dxa"/>
          </w:tcPr>
          <w:p w:rsidR="005C5F69" w:rsidRPr="000568D7" w:rsidRDefault="005C5F69" w:rsidP="005C5F69">
            <w:pPr>
              <w:rPr>
                <w:b/>
                <w:sz w:val="18"/>
                <w:szCs w:val="18"/>
              </w:rPr>
            </w:pPr>
            <w:r w:rsidRPr="000568D7">
              <w:rPr>
                <w:b/>
                <w:sz w:val="18"/>
                <w:szCs w:val="18"/>
              </w:rPr>
              <w:t>Regulatory Requirement</w:t>
            </w:r>
          </w:p>
        </w:tc>
        <w:tc>
          <w:tcPr>
            <w:tcW w:w="1560" w:type="dxa"/>
          </w:tcPr>
          <w:p w:rsidR="005C5F69" w:rsidRPr="000568D7" w:rsidRDefault="005C5F69" w:rsidP="005C5F69">
            <w:pPr>
              <w:rPr>
                <w:b/>
                <w:sz w:val="18"/>
                <w:szCs w:val="18"/>
              </w:rPr>
            </w:pPr>
            <w:r w:rsidRPr="000568D7">
              <w:rPr>
                <w:b/>
                <w:sz w:val="18"/>
                <w:szCs w:val="18"/>
              </w:rPr>
              <w:t>Compliance Deadline</w:t>
            </w:r>
          </w:p>
        </w:tc>
        <w:tc>
          <w:tcPr>
            <w:tcW w:w="2409" w:type="dxa"/>
          </w:tcPr>
          <w:p w:rsidR="005C5F69" w:rsidRPr="000568D7" w:rsidRDefault="005C5F69" w:rsidP="005C5F69">
            <w:pPr>
              <w:rPr>
                <w:b/>
                <w:sz w:val="18"/>
                <w:szCs w:val="18"/>
              </w:rPr>
            </w:pPr>
            <w:r w:rsidRPr="000568D7">
              <w:rPr>
                <w:b/>
                <w:sz w:val="18"/>
                <w:szCs w:val="18"/>
              </w:rPr>
              <w:t>Deliverables</w:t>
            </w:r>
          </w:p>
        </w:tc>
        <w:tc>
          <w:tcPr>
            <w:tcW w:w="1134" w:type="dxa"/>
          </w:tcPr>
          <w:p w:rsidR="005C5F69" w:rsidRPr="000568D7" w:rsidRDefault="005C5F69" w:rsidP="005C5F69">
            <w:pPr>
              <w:rPr>
                <w:b/>
                <w:sz w:val="18"/>
                <w:szCs w:val="18"/>
              </w:rPr>
            </w:pPr>
            <w:r w:rsidRPr="000568D7">
              <w:rPr>
                <w:b/>
                <w:sz w:val="18"/>
                <w:szCs w:val="18"/>
              </w:rPr>
              <w:t xml:space="preserve">Progress to Date </w:t>
            </w:r>
            <w:r w:rsidRPr="000568D7">
              <w:rPr>
                <w:b/>
                <w:sz w:val="18"/>
                <w:szCs w:val="18"/>
              </w:rPr>
              <w:lastRenderedPageBreak/>
              <w:t xml:space="preserve">(Actions) </w:t>
            </w:r>
          </w:p>
        </w:tc>
        <w:tc>
          <w:tcPr>
            <w:tcW w:w="1276" w:type="dxa"/>
          </w:tcPr>
          <w:p w:rsidR="005C5F69" w:rsidRPr="000568D7" w:rsidRDefault="005C5F69" w:rsidP="005C5F69">
            <w:pPr>
              <w:rPr>
                <w:b/>
                <w:sz w:val="18"/>
                <w:szCs w:val="18"/>
              </w:rPr>
            </w:pPr>
            <w:r w:rsidRPr="000568D7">
              <w:rPr>
                <w:b/>
                <w:sz w:val="18"/>
                <w:szCs w:val="18"/>
              </w:rPr>
              <w:lastRenderedPageBreak/>
              <w:t>Champion/Due Date</w:t>
            </w:r>
          </w:p>
        </w:tc>
        <w:tc>
          <w:tcPr>
            <w:tcW w:w="1418" w:type="dxa"/>
          </w:tcPr>
          <w:p w:rsidR="005C5F69" w:rsidRPr="000568D7" w:rsidRDefault="005C5F69" w:rsidP="005C5F69">
            <w:pPr>
              <w:rPr>
                <w:b/>
                <w:sz w:val="18"/>
                <w:szCs w:val="18"/>
              </w:rPr>
            </w:pPr>
            <w:r w:rsidRPr="000568D7">
              <w:rPr>
                <w:b/>
                <w:sz w:val="18"/>
                <w:szCs w:val="18"/>
              </w:rPr>
              <w:t>Status</w:t>
            </w:r>
          </w:p>
        </w:tc>
      </w:tr>
      <w:tr w:rsidR="005C5F69" w:rsidRPr="00D17779" w:rsidTr="00A914E1">
        <w:tc>
          <w:tcPr>
            <w:tcW w:w="3686" w:type="dxa"/>
          </w:tcPr>
          <w:p w:rsidR="005C5F69" w:rsidRPr="00D17779" w:rsidRDefault="000568D7" w:rsidP="005C5F69">
            <w:pPr>
              <w:rPr>
                <w:b/>
                <w:sz w:val="18"/>
                <w:szCs w:val="18"/>
              </w:rPr>
            </w:pPr>
            <w:r w:rsidRPr="00D17779">
              <w:rPr>
                <w:b/>
                <w:sz w:val="18"/>
                <w:szCs w:val="18"/>
              </w:rPr>
              <w:lastRenderedPageBreak/>
              <w:t>Recruitment</w:t>
            </w:r>
          </w:p>
          <w:p w:rsidR="000568D7" w:rsidRPr="00D17779" w:rsidRDefault="000568D7" w:rsidP="005C5F69">
            <w:pPr>
              <w:rPr>
                <w:sz w:val="18"/>
                <w:szCs w:val="18"/>
              </w:rPr>
            </w:pPr>
            <w:r w:rsidRPr="00D17779">
              <w:rPr>
                <w:sz w:val="18"/>
                <w:szCs w:val="18"/>
              </w:rPr>
              <w:t>- Notify employees and the public about the availability of accommodation for applicants with disabilities in the recruitment process</w:t>
            </w:r>
          </w:p>
        </w:tc>
        <w:tc>
          <w:tcPr>
            <w:tcW w:w="1560" w:type="dxa"/>
          </w:tcPr>
          <w:p w:rsidR="005C5F69" w:rsidRPr="00D17779" w:rsidRDefault="000568D7" w:rsidP="005C5F69">
            <w:pPr>
              <w:rPr>
                <w:sz w:val="18"/>
                <w:szCs w:val="18"/>
              </w:rPr>
            </w:pPr>
            <w:r w:rsidRPr="00D17779">
              <w:rPr>
                <w:sz w:val="18"/>
                <w:szCs w:val="18"/>
              </w:rPr>
              <w:t>January 1, 2016</w:t>
            </w:r>
          </w:p>
        </w:tc>
        <w:tc>
          <w:tcPr>
            <w:tcW w:w="2409" w:type="dxa"/>
          </w:tcPr>
          <w:p w:rsidR="005C5F69" w:rsidRPr="00D17779" w:rsidRDefault="000568D7" w:rsidP="005C5F69">
            <w:pPr>
              <w:rPr>
                <w:sz w:val="18"/>
                <w:szCs w:val="18"/>
              </w:rPr>
            </w:pPr>
            <w:r w:rsidRPr="00D17779">
              <w:rPr>
                <w:sz w:val="18"/>
                <w:szCs w:val="18"/>
              </w:rPr>
              <w:t>- Notify employees and the public of availability of accommodation for applicants with disabilities in the recruitment process</w:t>
            </w:r>
          </w:p>
          <w:p w:rsidR="000568D7" w:rsidRPr="00D17779" w:rsidRDefault="000568D7" w:rsidP="005C5F69">
            <w:pPr>
              <w:rPr>
                <w:sz w:val="18"/>
                <w:szCs w:val="18"/>
              </w:rPr>
            </w:pPr>
            <w:r w:rsidRPr="00D17779">
              <w:rPr>
                <w:sz w:val="18"/>
                <w:szCs w:val="18"/>
              </w:rPr>
              <w:t>- Existing recruitment policies, procedures and processes will be reviewed</w:t>
            </w:r>
          </w:p>
          <w:p w:rsidR="000568D7" w:rsidRPr="00D17779" w:rsidRDefault="000568D7" w:rsidP="005C5F69">
            <w:pPr>
              <w:rPr>
                <w:sz w:val="18"/>
                <w:szCs w:val="18"/>
              </w:rPr>
            </w:pPr>
            <w:r w:rsidRPr="00D17779">
              <w:rPr>
                <w:sz w:val="18"/>
                <w:szCs w:val="18"/>
              </w:rPr>
              <w:t>- Update job posting templates to include accessibility statement</w:t>
            </w:r>
          </w:p>
        </w:tc>
        <w:tc>
          <w:tcPr>
            <w:tcW w:w="1134" w:type="dxa"/>
          </w:tcPr>
          <w:p w:rsidR="005C5F69" w:rsidRPr="00D17779" w:rsidRDefault="00A47512" w:rsidP="005C5F69">
            <w:pPr>
              <w:rPr>
                <w:sz w:val="18"/>
                <w:szCs w:val="18"/>
              </w:rPr>
            </w:pPr>
            <w:r>
              <w:rPr>
                <w:sz w:val="18"/>
                <w:szCs w:val="18"/>
              </w:rPr>
              <w:t>Complete</w:t>
            </w:r>
          </w:p>
        </w:tc>
        <w:tc>
          <w:tcPr>
            <w:tcW w:w="1276" w:type="dxa"/>
          </w:tcPr>
          <w:p w:rsidR="005C5F69" w:rsidRPr="00D17779" w:rsidRDefault="000568D7" w:rsidP="005C5F69">
            <w:pPr>
              <w:rPr>
                <w:sz w:val="18"/>
                <w:szCs w:val="18"/>
              </w:rPr>
            </w:pPr>
            <w:r w:rsidRPr="00D17779">
              <w:rPr>
                <w:sz w:val="18"/>
                <w:szCs w:val="18"/>
              </w:rPr>
              <w:t>Human Resources (June 2015)</w:t>
            </w:r>
          </w:p>
        </w:tc>
        <w:tc>
          <w:tcPr>
            <w:tcW w:w="1418" w:type="dxa"/>
          </w:tcPr>
          <w:p w:rsidR="005C5F69" w:rsidRPr="00D17779" w:rsidRDefault="00D761F3" w:rsidP="005C5F69">
            <w:pPr>
              <w:rPr>
                <w:sz w:val="18"/>
                <w:szCs w:val="18"/>
              </w:rPr>
            </w:pPr>
            <w:r>
              <w:rPr>
                <w:sz w:val="18"/>
                <w:szCs w:val="18"/>
              </w:rPr>
              <w:t>Complete</w:t>
            </w:r>
          </w:p>
        </w:tc>
      </w:tr>
      <w:tr w:rsidR="005C5F69" w:rsidRPr="00D17779" w:rsidTr="00A914E1">
        <w:tc>
          <w:tcPr>
            <w:tcW w:w="3686" w:type="dxa"/>
          </w:tcPr>
          <w:p w:rsidR="005C5F69" w:rsidRPr="00D17779" w:rsidRDefault="00C84D5F" w:rsidP="005C5F69">
            <w:pPr>
              <w:rPr>
                <w:b/>
                <w:sz w:val="18"/>
                <w:szCs w:val="18"/>
              </w:rPr>
            </w:pPr>
            <w:r w:rsidRPr="00D17779">
              <w:rPr>
                <w:b/>
                <w:sz w:val="18"/>
                <w:szCs w:val="18"/>
              </w:rPr>
              <w:t>Recruitment, assessment, or selection process</w:t>
            </w:r>
          </w:p>
          <w:p w:rsidR="00C84D5F" w:rsidRPr="00D17779" w:rsidRDefault="00C84D5F" w:rsidP="005C5F69">
            <w:pPr>
              <w:rPr>
                <w:sz w:val="18"/>
                <w:szCs w:val="18"/>
              </w:rPr>
            </w:pPr>
            <w:r w:rsidRPr="00D17779">
              <w:rPr>
                <w:sz w:val="18"/>
                <w:szCs w:val="18"/>
              </w:rPr>
              <w:t>- Notify job applicants that accommodations are available in relation to the materials or processes used during the recruitment process, upon request</w:t>
            </w:r>
          </w:p>
        </w:tc>
        <w:tc>
          <w:tcPr>
            <w:tcW w:w="1560" w:type="dxa"/>
          </w:tcPr>
          <w:p w:rsidR="005C5F69" w:rsidRPr="00D17779" w:rsidRDefault="00C84D5F" w:rsidP="005C5F69">
            <w:pPr>
              <w:rPr>
                <w:sz w:val="18"/>
                <w:szCs w:val="18"/>
              </w:rPr>
            </w:pPr>
            <w:r w:rsidRPr="00D17779">
              <w:rPr>
                <w:sz w:val="18"/>
                <w:szCs w:val="18"/>
              </w:rPr>
              <w:t>January 1, 2016</w:t>
            </w:r>
          </w:p>
        </w:tc>
        <w:tc>
          <w:tcPr>
            <w:tcW w:w="2409" w:type="dxa"/>
          </w:tcPr>
          <w:p w:rsidR="00341ECE" w:rsidRPr="00D17779" w:rsidRDefault="00341ECE" w:rsidP="005C5F69">
            <w:pPr>
              <w:rPr>
                <w:sz w:val="18"/>
                <w:szCs w:val="18"/>
              </w:rPr>
            </w:pPr>
            <w:r w:rsidRPr="00D17779">
              <w:rPr>
                <w:sz w:val="18"/>
                <w:szCs w:val="18"/>
              </w:rPr>
              <w:t>- Update recruitment process to ensure applicants are notified if selected for an interview or assessment that accommodations are available, upon request</w:t>
            </w:r>
          </w:p>
        </w:tc>
        <w:tc>
          <w:tcPr>
            <w:tcW w:w="1134" w:type="dxa"/>
          </w:tcPr>
          <w:p w:rsidR="005C5F69" w:rsidRPr="00D17779" w:rsidRDefault="00A47512" w:rsidP="005C5F69">
            <w:pPr>
              <w:rPr>
                <w:sz w:val="18"/>
                <w:szCs w:val="18"/>
              </w:rPr>
            </w:pPr>
            <w:r>
              <w:rPr>
                <w:sz w:val="18"/>
                <w:szCs w:val="18"/>
              </w:rPr>
              <w:t>Complete</w:t>
            </w:r>
          </w:p>
        </w:tc>
        <w:tc>
          <w:tcPr>
            <w:tcW w:w="1276" w:type="dxa"/>
          </w:tcPr>
          <w:p w:rsidR="005C5F69" w:rsidRPr="00D17779" w:rsidRDefault="00341ECE" w:rsidP="005C5F69">
            <w:pPr>
              <w:rPr>
                <w:sz w:val="18"/>
                <w:szCs w:val="18"/>
              </w:rPr>
            </w:pPr>
            <w:r w:rsidRPr="00D17779">
              <w:rPr>
                <w:sz w:val="18"/>
                <w:szCs w:val="18"/>
              </w:rPr>
              <w:t>Human Resources (June 2015)</w:t>
            </w:r>
          </w:p>
        </w:tc>
        <w:tc>
          <w:tcPr>
            <w:tcW w:w="1418" w:type="dxa"/>
          </w:tcPr>
          <w:p w:rsidR="005C5F69" w:rsidRPr="00D17779" w:rsidRDefault="00D761F3" w:rsidP="005C5F69">
            <w:pPr>
              <w:rPr>
                <w:sz w:val="18"/>
                <w:szCs w:val="18"/>
              </w:rPr>
            </w:pPr>
            <w:r>
              <w:rPr>
                <w:sz w:val="18"/>
                <w:szCs w:val="18"/>
              </w:rPr>
              <w:t>Complete</w:t>
            </w:r>
          </w:p>
        </w:tc>
      </w:tr>
      <w:tr w:rsidR="005C5F69" w:rsidRPr="00D17779" w:rsidTr="00A914E1">
        <w:tc>
          <w:tcPr>
            <w:tcW w:w="3686" w:type="dxa"/>
          </w:tcPr>
          <w:p w:rsidR="005C5F69" w:rsidRPr="00D17779" w:rsidRDefault="001624E3" w:rsidP="005C5F69">
            <w:pPr>
              <w:rPr>
                <w:b/>
                <w:sz w:val="18"/>
                <w:szCs w:val="18"/>
              </w:rPr>
            </w:pPr>
            <w:r w:rsidRPr="00D17779">
              <w:rPr>
                <w:b/>
                <w:sz w:val="18"/>
                <w:szCs w:val="18"/>
              </w:rPr>
              <w:t>Notice to successful applicants</w:t>
            </w:r>
          </w:p>
          <w:p w:rsidR="001624E3" w:rsidRPr="00D17779" w:rsidRDefault="001624E3" w:rsidP="005C5F69">
            <w:pPr>
              <w:rPr>
                <w:sz w:val="18"/>
                <w:szCs w:val="18"/>
              </w:rPr>
            </w:pPr>
            <w:r w:rsidRPr="00D17779">
              <w:rPr>
                <w:sz w:val="18"/>
                <w:szCs w:val="18"/>
              </w:rPr>
              <w:t>- When making an offer of employment, notify successful applicants of policies for accommodating employees with disabilities</w:t>
            </w:r>
          </w:p>
        </w:tc>
        <w:tc>
          <w:tcPr>
            <w:tcW w:w="1560" w:type="dxa"/>
          </w:tcPr>
          <w:p w:rsidR="005C5F69" w:rsidRPr="00D17779" w:rsidRDefault="00443DDB" w:rsidP="005C5F69">
            <w:pPr>
              <w:rPr>
                <w:sz w:val="18"/>
                <w:szCs w:val="18"/>
              </w:rPr>
            </w:pPr>
            <w:r w:rsidRPr="00D17779">
              <w:rPr>
                <w:sz w:val="18"/>
                <w:szCs w:val="18"/>
              </w:rPr>
              <w:t>January 1, 2016</w:t>
            </w:r>
          </w:p>
        </w:tc>
        <w:tc>
          <w:tcPr>
            <w:tcW w:w="2409" w:type="dxa"/>
          </w:tcPr>
          <w:p w:rsidR="00443DDB" w:rsidRPr="00D17779" w:rsidRDefault="0046367E" w:rsidP="0046367E">
            <w:pPr>
              <w:rPr>
                <w:sz w:val="18"/>
                <w:szCs w:val="18"/>
              </w:rPr>
            </w:pPr>
            <w:r w:rsidRPr="00D17779">
              <w:rPr>
                <w:sz w:val="18"/>
                <w:szCs w:val="18"/>
              </w:rPr>
              <w:t>- Create an accommodation procedure</w:t>
            </w:r>
          </w:p>
        </w:tc>
        <w:tc>
          <w:tcPr>
            <w:tcW w:w="1134" w:type="dxa"/>
          </w:tcPr>
          <w:p w:rsidR="005C5F69" w:rsidRPr="00D17779" w:rsidRDefault="00A47512" w:rsidP="0046367E">
            <w:pPr>
              <w:rPr>
                <w:sz w:val="18"/>
                <w:szCs w:val="18"/>
              </w:rPr>
            </w:pPr>
            <w:r>
              <w:rPr>
                <w:sz w:val="18"/>
                <w:szCs w:val="18"/>
              </w:rPr>
              <w:t>Complete</w:t>
            </w:r>
          </w:p>
        </w:tc>
        <w:tc>
          <w:tcPr>
            <w:tcW w:w="1276" w:type="dxa"/>
          </w:tcPr>
          <w:p w:rsidR="005C5F69" w:rsidRPr="00D17779" w:rsidRDefault="00443DDB" w:rsidP="005C5F69">
            <w:pPr>
              <w:rPr>
                <w:sz w:val="18"/>
                <w:szCs w:val="18"/>
              </w:rPr>
            </w:pPr>
            <w:r w:rsidRPr="00D17779">
              <w:rPr>
                <w:sz w:val="18"/>
                <w:szCs w:val="18"/>
              </w:rPr>
              <w:t>Human Resources (June 2015)</w:t>
            </w:r>
          </w:p>
        </w:tc>
        <w:tc>
          <w:tcPr>
            <w:tcW w:w="1418" w:type="dxa"/>
          </w:tcPr>
          <w:p w:rsidR="005C5F69" w:rsidRPr="00D17779" w:rsidRDefault="00D761F3" w:rsidP="005C5F69">
            <w:pPr>
              <w:rPr>
                <w:sz w:val="18"/>
                <w:szCs w:val="18"/>
              </w:rPr>
            </w:pPr>
            <w:r>
              <w:rPr>
                <w:sz w:val="18"/>
                <w:szCs w:val="18"/>
              </w:rPr>
              <w:t>Complete</w:t>
            </w:r>
          </w:p>
        </w:tc>
      </w:tr>
      <w:tr w:rsidR="0046367E" w:rsidRPr="00D17779" w:rsidTr="00A914E1">
        <w:tc>
          <w:tcPr>
            <w:tcW w:w="3686" w:type="dxa"/>
          </w:tcPr>
          <w:p w:rsidR="0046367E" w:rsidRPr="00D17779" w:rsidRDefault="0046367E" w:rsidP="005C5F69">
            <w:pPr>
              <w:rPr>
                <w:b/>
                <w:sz w:val="18"/>
                <w:szCs w:val="18"/>
              </w:rPr>
            </w:pPr>
            <w:r w:rsidRPr="00D17779">
              <w:rPr>
                <w:b/>
                <w:sz w:val="18"/>
                <w:szCs w:val="18"/>
              </w:rPr>
              <w:t>Informing employees of support</w:t>
            </w:r>
          </w:p>
          <w:p w:rsidR="0046367E" w:rsidRPr="00D17779" w:rsidRDefault="0046367E" w:rsidP="005C5F69">
            <w:pPr>
              <w:rPr>
                <w:sz w:val="18"/>
                <w:szCs w:val="18"/>
              </w:rPr>
            </w:pPr>
            <w:r w:rsidRPr="00D17779">
              <w:rPr>
                <w:sz w:val="18"/>
                <w:szCs w:val="18"/>
              </w:rPr>
              <w:t>- Inform employees of policies used to support employees with disabilities as soon as practicable</w:t>
            </w:r>
          </w:p>
          <w:p w:rsidR="0046367E" w:rsidRPr="00D17779" w:rsidRDefault="0046367E" w:rsidP="005C5F69">
            <w:pPr>
              <w:rPr>
                <w:sz w:val="18"/>
                <w:szCs w:val="18"/>
              </w:rPr>
            </w:pPr>
            <w:r w:rsidRPr="00D17779">
              <w:rPr>
                <w:sz w:val="18"/>
                <w:szCs w:val="18"/>
              </w:rPr>
              <w:t>- Information shall be provided to new employees as soon as practicable after they begin their employment</w:t>
            </w:r>
          </w:p>
          <w:p w:rsidR="0046367E" w:rsidRPr="00D17779" w:rsidRDefault="0046367E" w:rsidP="005C5F69">
            <w:pPr>
              <w:rPr>
                <w:sz w:val="18"/>
                <w:szCs w:val="18"/>
              </w:rPr>
            </w:pPr>
            <w:r w:rsidRPr="00D17779">
              <w:rPr>
                <w:sz w:val="18"/>
                <w:szCs w:val="18"/>
              </w:rPr>
              <w:t>- Employers shall provide updated information whenever there is a change to existing policies on the provision of job accommodation that take into account an employee’s accessibility needs due to disability</w:t>
            </w:r>
          </w:p>
          <w:p w:rsidR="0046367E" w:rsidRPr="00D17779" w:rsidRDefault="0046367E" w:rsidP="005C5F69">
            <w:pPr>
              <w:rPr>
                <w:sz w:val="18"/>
                <w:szCs w:val="18"/>
              </w:rPr>
            </w:pPr>
          </w:p>
        </w:tc>
        <w:tc>
          <w:tcPr>
            <w:tcW w:w="1560" w:type="dxa"/>
          </w:tcPr>
          <w:p w:rsidR="0046367E" w:rsidRPr="00D17779" w:rsidRDefault="0046367E" w:rsidP="005C5F69">
            <w:pPr>
              <w:rPr>
                <w:sz w:val="18"/>
                <w:szCs w:val="18"/>
              </w:rPr>
            </w:pPr>
            <w:r w:rsidRPr="00D17779">
              <w:rPr>
                <w:sz w:val="18"/>
                <w:szCs w:val="18"/>
              </w:rPr>
              <w:t>January 1, 2016</w:t>
            </w:r>
          </w:p>
        </w:tc>
        <w:tc>
          <w:tcPr>
            <w:tcW w:w="2409" w:type="dxa"/>
          </w:tcPr>
          <w:p w:rsidR="0046367E" w:rsidRPr="00D17779" w:rsidRDefault="0046367E" w:rsidP="0046367E">
            <w:pPr>
              <w:rPr>
                <w:sz w:val="18"/>
                <w:szCs w:val="18"/>
              </w:rPr>
            </w:pPr>
            <w:r w:rsidRPr="00D17779">
              <w:rPr>
                <w:sz w:val="18"/>
                <w:szCs w:val="18"/>
              </w:rPr>
              <w:t>- Inform employees of policies to support employees with disabilities</w:t>
            </w:r>
          </w:p>
          <w:p w:rsidR="0046367E" w:rsidRPr="00D17779" w:rsidRDefault="0046367E" w:rsidP="0046367E">
            <w:pPr>
              <w:rPr>
                <w:sz w:val="18"/>
                <w:szCs w:val="18"/>
              </w:rPr>
            </w:pPr>
            <w:r w:rsidRPr="00D17779">
              <w:rPr>
                <w:sz w:val="18"/>
                <w:szCs w:val="18"/>
              </w:rPr>
              <w:t>- Provide information regarding accommodation as the new employee begins employment (during the orientation)</w:t>
            </w:r>
          </w:p>
          <w:p w:rsidR="0046367E" w:rsidRPr="00D17779" w:rsidRDefault="0046367E" w:rsidP="0046367E">
            <w:pPr>
              <w:rPr>
                <w:sz w:val="18"/>
                <w:szCs w:val="18"/>
              </w:rPr>
            </w:pPr>
            <w:r w:rsidRPr="00D17779">
              <w:rPr>
                <w:sz w:val="18"/>
                <w:szCs w:val="18"/>
              </w:rPr>
              <w:t>- Keep employees up to date to changes to existing policies on job accommodations with respect to disabilities</w:t>
            </w:r>
          </w:p>
        </w:tc>
        <w:tc>
          <w:tcPr>
            <w:tcW w:w="1134" w:type="dxa"/>
          </w:tcPr>
          <w:p w:rsidR="0046367E" w:rsidRPr="00D17779" w:rsidRDefault="001E3885" w:rsidP="0046367E">
            <w:pPr>
              <w:rPr>
                <w:sz w:val="18"/>
                <w:szCs w:val="18"/>
              </w:rPr>
            </w:pPr>
            <w:r>
              <w:rPr>
                <w:sz w:val="18"/>
                <w:szCs w:val="18"/>
              </w:rPr>
              <w:t>All employees are informed</w:t>
            </w:r>
            <w:r w:rsidR="00887F49">
              <w:rPr>
                <w:sz w:val="18"/>
                <w:szCs w:val="18"/>
              </w:rPr>
              <w:t xml:space="preserve"> of</w:t>
            </w:r>
            <w:r>
              <w:rPr>
                <w:sz w:val="18"/>
                <w:szCs w:val="18"/>
              </w:rPr>
              <w:t xml:space="preserve"> policies with regard to supporting those with disabilities.</w:t>
            </w:r>
          </w:p>
        </w:tc>
        <w:tc>
          <w:tcPr>
            <w:tcW w:w="1276" w:type="dxa"/>
          </w:tcPr>
          <w:p w:rsidR="0046367E" w:rsidRPr="00D17779" w:rsidRDefault="00115063" w:rsidP="005C5F69">
            <w:pPr>
              <w:rPr>
                <w:sz w:val="18"/>
                <w:szCs w:val="18"/>
              </w:rPr>
            </w:pPr>
            <w:r w:rsidRPr="00D17779">
              <w:rPr>
                <w:sz w:val="18"/>
                <w:szCs w:val="18"/>
              </w:rPr>
              <w:t>Human Resources (June 2015)</w:t>
            </w:r>
          </w:p>
        </w:tc>
        <w:tc>
          <w:tcPr>
            <w:tcW w:w="1418" w:type="dxa"/>
          </w:tcPr>
          <w:p w:rsidR="0046367E" w:rsidRPr="00D17779" w:rsidRDefault="001E3885" w:rsidP="005C5F69">
            <w:pPr>
              <w:rPr>
                <w:sz w:val="18"/>
                <w:szCs w:val="18"/>
              </w:rPr>
            </w:pPr>
            <w:r>
              <w:rPr>
                <w:sz w:val="18"/>
                <w:szCs w:val="18"/>
              </w:rPr>
              <w:t>Complete</w:t>
            </w:r>
          </w:p>
        </w:tc>
      </w:tr>
      <w:tr w:rsidR="0046367E" w:rsidRPr="00D17779" w:rsidTr="00A914E1">
        <w:tc>
          <w:tcPr>
            <w:tcW w:w="3686" w:type="dxa"/>
          </w:tcPr>
          <w:p w:rsidR="0046367E" w:rsidRPr="00D17779" w:rsidRDefault="00210781" w:rsidP="005C5F69">
            <w:pPr>
              <w:rPr>
                <w:b/>
                <w:sz w:val="18"/>
                <w:szCs w:val="18"/>
              </w:rPr>
            </w:pPr>
            <w:r w:rsidRPr="00D17779">
              <w:rPr>
                <w:b/>
                <w:sz w:val="18"/>
                <w:szCs w:val="18"/>
              </w:rPr>
              <w:t>Accessible formats and communication supports for employees</w:t>
            </w:r>
          </w:p>
          <w:p w:rsidR="00210781" w:rsidRPr="00D17779" w:rsidRDefault="00210781" w:rsidP="005C5F69">
            <w:pPr>
              <w:rPr>
                <w:sz w:val="18"/>
                <w:szCs w:val="18"/>
              </w:rPr>
            </w:pPr>
            <w:r w:rsidRPr="00D17779">
              <w:rPr>
                <w:sz w:val="18"/>
                <w:szCs w:val="18"/>
              </w:rPr>
              <w:t>- When requested by an employee with a disability, employers shall provide or arrange for the provision of plans for employees with disabilities</w:t>
            </w:r>
          </w:p>
        </w:tc>
        <w:tc>
          <w:tcPr>
            <w:tcW w:w="1560" w:type="dxa"/>
          </w:tcPr>
          <w:p w:rsidR="0046367E" w:rsidRPr="00D17779" w:rsidRDefault="00210781" w:rsidP="005C5F69">
            <w:pPr>
              <w:rPr>
                <w:sz w:val="18"/>
                <w:szCs w:val="18"/>
              </w:rPr>
            </w:pPr>
            <w:r w:rsidRPr="00D17779">
              <w:rPr>
                <w:sz w:val="18"/>
                <w:szCs w:val="18"/>
              </w:rPr>
              <w:t>January 1, 2016</w:t>
            </w:r>
          </w:p>
        </w:tc>
        <w:tc>
          <w:tcPr>
            <w:tcW w:w="2409" w:type="dxa"/>
          </w:tcPr>
          <w:p w:rsidR="0046367E" w:rsidRPr="00D17779" w:rsidRDefault="00210781" w:rsidP="005C5F69">
            <w:pPr>
              <w:rPr>
                <w:sz w:val="18"/>
                <w:szCs w:val="18"/>
              </w:rPr>
            </w:pPr>
            <w:r w:rsidRPr="00D17779">
              <w:rPr>
                <w:sz w:val="18"/>
                <w:szCs w:val="18"/>
              </w:rPr>
              <w:t>- Scholastic Canada will provide accessible formats and communication supports in a timely manner to requested staff, at no additional cost</w:t>
            </w:r>
          </w:p>
        </w:tc>
        <w:tc>
          <w:tcPr>
            <w:tcW w:w="1134" w:type="dxa"/>
          </w:tcPr>
          <w:p w:rsidR="0046367E" w:rsidRPr="00D17779" w:rsidRDefault="006B4EC1" w:rsidP="005C5F69">
            <w:pPr>
              <w:rPr>
                <w:sz w:val="18"/>
                <w:szCs w:val="18"/>
              </w:rPr>
            </w:pPr>
            <w:r>
              <w:rPr>
                <w:sz w:val="18"/>
                <w:szCs w:val="18"/>
              </w:rPr>
              <w:t>When requested, Scholastic will provide accessible formats and communication supports</w:t>
            </w:r>
          </w:p>
        </w:tc>
        <w:tc>
          <w:tcPr>
            <w:tcW w:w="1276" w:type="dxa"/>
          </w:tcPr>
          <w:p w:rsidR="0046367E" w:rsidRPr="00D17779" w:rsidRDefault="00210781" w:rsidP="005C5F69">
            <w:pPr>
              <w:rPr>
                <w:sz w:val="18"/>
                <w:szCs w:val="18"/>
              </w:rPr>
            </w:pPr>
            <w:r w:rsidRPr="00D17779">
              <w:rPr>
                <w:sz w:val="18"/>
                <w:szCs w:val="18"/>
              </w:rPr>
              <w:t>Human Resources (June 2015)</w:t>
            </w:r>
          </w:p>
        </w:tc>
        <w:tc>
          <w:tcPr>
            <w:tcW w:w="1418" w:type="dxa"/>
          </w:tcPr>
          <w:p w:rsidR="0046367E" w:rsidRPr="00D17779" w:rsidRDefault="006B4EC1" w:rsidP="005C5F69">
            <w:pPr>
              <w:rPr>
                <w:sz w:val="18"/>
                <w:szCs w:val="18"/>
              </w:rPr>
            </w:pPr>
            <w:r>
              <w:rPr>
                <w:sz w:val="18"/>
                <w:szCs w:val="18"/>
              </w:rPr>
              <w:t>Complete</w:t>
            </w:r>
          </w:p>
        </w:tc>
      </w:tr>
      <w:tr w:rsidR="0046367E" w:rsidRPr="00D17779" w:rsidTr="00A914E1">
        <w:tc>
          <w:tcPr>
            <w:tcW w:w="3686" w:type="dxa"/>
          </w:tcPr>
          <w:p w:rsidR="0046367E" w:rsidRPr="00D17779" w:rsidRDefault="00172336" w:rsidP="005C5F69">
            <w:pPr>
              <w:rPr>
                <w:b/>
                <w:sz w:val="18"/>
                <w:szCs w:val="18"/>
              </w:rPr>
            </w:pPr>
            <w:r w:rsidRPr="00D17779">
              <w:rPr>
                <w:b/>
                <w:sz w:val="18"/>
                <w:szCs w:val="18"/>
              </w:rPr>
              <w:t>Return to work process</w:t>
            </w:r>
          </w:p>
          <w:p w:rsidR="00172336" w:rsidRPr="00D17779" w:rsidRDefault="00172336" w:rsidP="005C5F69">
            <w:pPr>
              <w:rPr>
                <w:sz w:val="18"/>
                <w:szCs w:val="18"/>
              </w:rPr>
            </w:pPr>
            <w:r w:rsidRPr="00D17779">
              <w:rPr>
                <w:sz w:val="18"/>
                <w:szCs w:val="18"/>
              </w:rPr>
              <w:t xml:space="preserve">- </w:t>
            </w:r>
            <w:r w:rsidR="00E52A0D" w:rsidRPr="00D17779">
              <w:rPr>
                <w:sz w:val="18"/>
                <w:szCs w:val="18"/>
              </w:rPr>
              <w:t>Develop and have in place a return to work process for employees who have been absent from work due to a disability and require disability related accommodations to return to work</w:t>
            </w:r>
          </w:p>
        </w:tc>
        <w:tc>
          <w:tcPr>
            <w:tcW w:w="1560" w:type="dxa"/>
          </w:tcPr>
          <w:p w:rsidR="0046367E" w:rsidRPr="00D17779" w:rsidRDefault="00E52A0D" w:rsidP="005C5F69">
            <w:pPr>
              <w:rPr>
                <w:sz w:val="18"/>
                <w:szCs w:val="18"/>
              </w:rPr>
            </w:pPr>
            <w:r w:rsidRPr="00D17779">
              <w:rPr>
                <w:sz w:val="18"/>
                <w:szCs w:val="18"/>
              </w:rPr>
              <w:t>January 1, 2016</w:t>
            </w:r>
          </w:p>
        </w:tc>
        <w:tc>
          <w:tcPr>
            <w:tcW w:w="2409" w:type="dxa"/>
          </w:tcPr>
          <w:p w:rsidR="0046367E" w:rsidRPr="00D17779" w:rsidRDefault="00E52A0D" w:rsidP="005C5F69">
            <w:pPr>
              <w:rPr>
                <w:sz w:val="18"/>
                <w:szCs w:val="18"/>
              </w:rPr>
            </w:pPr>
            <w:r w:rsidRPr="00D17779">
              <w:rPr>
                <w:sz w:val="18"/>
                <w:szCs w:val="18"/>
              </w:rPr>
              <w:t>- Review, update, and document existing return to work process</w:t>
            </w:r>
          </w:p>
        </w:tc>
        <w:tc>
          <w:tcPr>
            <w:tcW w:w="1134" w:type="dxa"/>
          </w:tcPr>
          <w:p w:rsidR="0046367E" w:rsidRPr="00D17779" w:rsidRDefault="00E52A0D" w:rsidP="005C5F69">
            <w:pPr>
              <w:rPr>
                <w:sz w:val="18"/>
                <w:szCs w:val="18"/>
              </w:rPr>
            </w:pPr>
            <w:r w:rsidRPr="00D17779">
              <w:rPr>
                <w:sz w:val="18"/>
                <w:szCs w:val="18"/>
              </w:rPr>
              <w:t>- Return to work process in place for those absent from work due to a disability</w:t>
            </w:r>
          </w:p>
        </w:tc>
        <w:tc>
          <w:tcPr>
            <w:tcW w:w="1276" w:type="dxa"/>
          </w:tcPr>
          <w:p w:rsidR="0046367E" w:rsidRPr="00D17779" w:rsidRDefault="00E52A0D" w:rsidP="005C5F69">
            <w:pPr>
              <w:rPr>
                <w:sz w:val="18"/>
                <w:szCs w:val="18"/>
              </w:rPr>
            </w:pPr>
            <w:r w:rsidRPr="00D17779">
              <w:rPr>
                <w:sz w:val="18"/>
                <w:szCs w:val="18"/>
              </w:rPr>
              <w:t>Human Resources (January 2015)</w:t>
            </w:r>
          </w:p>
        </w:tc>
        <w:tc>
          <w:tcPr>
            <w:tcW w:w="1418" w:type="dxa"/>
          </w:tcPr>
          <w:p w:rsidR="0046367E" w:rsidRPr="00D17779" w:rsidRDefault="00E52A0D" w:rsidP="005C5F69">
            <w:pPr>
              <w:rPr>
                <w:sz w:val="18"/>
                <w:szCs w:val="18"/>
              </w:rPr>
            </w:pPr>
            <w:r w:rsidRPr="00D17779">
              <w:rPr>
                <w:sz w:val="18"/>
                <w:szCs w:val="18"/>
              </w:rPr>
              <w:t>Complete</w:t>
            </w:r>
          </w:p>
        </w:tc>
      </w:tr>
      <w:tr w:rsidR="0046367E" w:rsidRPr="00D17779" w:rsidTr="00A914E1">
        <w:tc>
          <w:tcPr>
            <w:tcW w:w="3686" w:type="dxa"/>
          </w:tcPr>
          <w:p w:rsidR="0046367E" w:rsidRPr="00D17779" w:rsidRDefault="003358C5" w:rsidP="005C5F69">
            <w:pPr>
              <w:rPr>
                <w:b/>
                <w:sz w:val="18"/>
                <w:szCs w:val="18"/>
              </w:rPr>
            </w:pPr>
            <w:r w:rsidRPr="00D17779">
              <w:rPr>
                <w:b/>
                <w:sz w:val="18"/>
                <w:szCs w:val="18"/>
              </w:rPr>
              <w:t xml:space="preserve">Performance management, </w:t>
            </w:r>
            <w:r w:rsidR="007914D2" w:rsidRPr="00D17779">
              <w:rPr>
                <w:b/>
                <w:sz w:val="18"/>
                <w:szCs w:val="18"/>
              </w:rPr>
              <w:t>career development and redeployment</w:t>
            </w:r>
          </w:p>
          <w:p w:rsidR="007914D2" w:rsidRPr="00D17779" w:rsidRDefault="007914D2" w:rsidP="005C5F69">
            <w:pPr>
              <w:rPr>
                <w:sz w:val="18"/>
                <w:szCs w:val="18"/>
              </w:rPr>
            </w:pPr>
            <w:r w:rsidRPr="00D17779">
              <w:rPr>
                <w:sz w:val="18"/>
                <w:szCs w:val="18"/>
              </w:rPr>
              <w:t xml:space="preserve">- Take into account accessibility needs of employees with disabilities and individual accommodation plans as part of performance </w:t>
            </w:r>
            <w:r w:rsidRPr="00D17779">
              <w:rPr>
                <w:sz w:val="18"/>
                <w:szCs w:val="18"/>
              </w:rPr>
              <w:lastRenderedPageBreak/>
              <w:t>management processes, when providing career development opportunities and considering redeployment</w:t>
            </w:r>
          </w:p>
        </w:tc>
        <w:tc>
          <w:tcPr>
            <w:tcW w:w="1560" w:type="dxa"/>
          </w:tcPr>
          <w:p w:rsidR="0046367E" w:rsidRPr="00D17779" w:rsidRDefault="007914D2" w:rsidP="005C5F69">
            <w:pPr>
              <w:rPr>
                <w:sz w:val="18"/>
                <w:szCs w:val="18"/>
              </w:rPr>
            </w:pPr>
            <w:r w:rsidRPr="00D17779">
              <w:rPr>
                <w:sz w:val="18"/>
                <w:szCs w:val="18"/>
              </w:rPr>
              <w:lastRenderedPageBreak/>
              <w:t>January 1, 2016</w:t>
            </w:r>
          </w:p>
        </w:tc>
        <w:tc>
          <w:tcPr>
            <w:tcW w:w="2409" w:type="dxa"/>
          </w:tcPr>
          <w:p w:rsidR="0046367E" w:rsidRPr="00D17779" w:rsidRDefault="007914D2" w:rsidP="005C5F69">
            <w:pPr>
              <w:rPr>
                <w:sz w:val="18"/>
                <w:szCs w:val="18"/>
              </w:rPr>
            </w:pPr>
            <w:r w:rsidRPr="00D17779">
              <w:rPr>
                <w:sz w:val="18"/>
                <w:szCs w:val="18"/>
              </w:rPr>
              <w:t>- Create accessible employment procedure</w:t>
            </w:r>
          </w:p>
        </w:tc>
        <w:tc>
          <w:tcPr>
            <w:tcW w:w="1134" w:type="dxa"/>
          </w:tcPr>
          <w:p w:rsidR="0046367E" w:rsidRPr="00D17779" w:rsidRDefault="00A47512" w:rsidP="005C5F69">
            <w:pPr>
              <w:rPr>
                <w:sz w:val="18"/>
                <w:szCs w:val="18"/>
              </w:rPr>
            </w:pPr>
            <w:r>
              <w:rPr>
                <w:sz w:val="18"/>
                <w:szCs w:val="18"/>
              </w:rPr>
              <w:t xml:space="preserve">Updated Pay </w:t>
            </w:r>
            <w:r w:rsidR="0063317A">
              <w:rPr>
                <w:sz w:val="18"/>
                <w:szCs w:val="18"/>
              </w:rPr>
              <w:t>Increase</w:t>
            </w:r>
            <w:r w:rsidR="00D0382C">
              <w:rPr>
                <w:sz w:val="18"/>
                <w:szCs w:val="18"/>
              </w:rPr>
              <w:t>s</w:t>
            </w:r>
            <w:r w:rsidR="0063317A">
              <w:rPr>
                <w:sz w:val="18"/>
                <w:szCs w:val="18"/>
              </w:rPr>
              <w:t xml:space="preserve"> Policy</w:t>
            </w:r>
            <w:r>
              <w:rPr>
                <w:sz w:val="18"/>
                <w:szCs w:val="18"/>
              </w:rPr>
              <w:t xml:space="preserve"> to reflect this.</w:t>
            </w:r>
          </w:p>
        </w:tc>
        <w:tc>
          <w:tcPr>
            <w:tcW w:w="1276" w:type="dxa"/>
          </w:tcPr>
          <w:p w:rsidR="0046367E" w:rsidRPr="00D17779" w:rsidRDefault="007914D2" w:rsidP="00AE444B">
            <w:pPr>
              <w:rPr>
                <w:sz w:val="18"/>
                <w:szCs w:val="18"/>
              </w:rPr>
            </w:pPr>
            <w:r w:rsidRPr="00D17779">
              <w:rPr>
                <w:sz w:val="18"/>
                <w:szCs w:val="18"/>
              </w:rPr>
              <w:t>Human Resources (</w:t>
            </w:r>
            <w:r w:rsidR="00AE444B">
              <w:rPr>
                <w:sz w:val="18"/>
                <w:szCs w:val="18"/>
              </w:rPr>
              <w:t xml:space="preserve">November, </w:t>
            </w:r>
            <w:r w:rsidRPr="00D17779">
              <w:rPr>
                <w:sz w:val="18"/>
                <w:szCs w:val="18"/>
              </w:rPr>
              <w:t>2015)</w:t>
            </w:r>
          </w:p>
        </w:tc>
        <w:tc>
          <w:tcPr>
            <w:tcW w:w="1418" w:type="dxa"/>
          </w:tcPr>
          <w:p w:rsidR="0046367E" w:rsidRPr="00D17779" w:rsidRDefault="00D0382C" w:rsidP="005C5F69">
            <w:pPr>
              <w:rPr>
                <w:sz w:val="18"/>
                <w:szCs w:val="18"/>
              </w:rPr>
            </w:pPr>
            <w:r>
              <w:rPr>
                <w:sz w:val="18"/>
                <w:szCs w:val="18"/>
              </w:rPr>
              <w:t>Complete</w:t>
            </w:r>
          </w:p>
        </w:tc>
      </w:tr>
    </w:tbl>
    <w:p w:rsidR="005C5F69" w:rsidRPr="00D17779" w:rsidRDefault="005C5F69" w:rsidP="005C5F69">
      <w:pPr>
        <w:spacing w:after="0"/>
        <w:rPr>
          <w:sz w:val="18"/>
          <w:szCs w:val="18"/>
        </w:rPr>
      </w:pPr>
    </w:p>
    <w:p w:rsidR="002A121F" w:rsidRDefault="002A121F" w:rsidP="00640652">
      <w:pPr>
        <w:spacing w:after="0"/>
      </w:pPr>
      <w:r>
        <w:t>For more information on this Acce</w:t>
      </w:r>
      <w:r w:rsidR="00175657">
        <w:t>ssibility Plan, or for a copy o</w:t>
      </w:r>
      <w:r>
        <w:t>f</w:t>
      </w:r>
      <w:r w:rsidR="00175657">
        <w:t xml:space="preserve"> </w:t>
      </w:r>
      <w:r>
        <w:t>this plan in an accessible format, please contact Scholastic Canada by any of the following means:</w:t>
      </w:r>
    </w:p>
    <w:p w:rsidR="00B33D72" w:rsidRDefault="00B33D72" w:rsidP="00640652">
      <w:pPr>
        <w:spacing w:after="0"/>
        <w:rPr>
          <w:b/>
        </w:rPr>
      </w:pPr>
    </w:p>
    <w:p w:rsidR="00175657" w:rsidRPr="00175657" w:rsidRDefault="00175657" w:rsidP="00640652">
      <w:pPr>
        <w:spacing w:after="0"/>
        <w:rPr>
          <w:b/>
        </w:rPr>
      </w:pPr>
      <w:r w:rsidRPr="00175657">
        <w:rPr>
          <w:b/>
        </w:rPr>
        <w:t>By telephone</w:t>
      </w:r>
      <w:r>
        <w:rPr>
          <w:b/>
        </w:rPr>
        <w:t>/fax</w:t>
      </w:r>
      <w:r w:rsidRPr="00175657">
        <w:rPr>
          <w:b/>
        </w:rPr>
        <w:t>:</w:t>
      </w:r>
    </w:p>
    <w:p w:rsidR="00175657" w:rsidRDefault="00175657" w:rsidP="00640652">
      <w:pPr>
        <w:spacing w:after="0"/>
      </w:pPr>
      <w:r>
        <w:t>Tel: (905) 887-7323</w:t>
      </w:r>
      <w:r w:rsidR="00B33D72">
        <w:tab/>
      </w:r>
      <w:r>
        <w:t>Fax: (905) 887-3639</w:t>
      </w:r>
    </w:p>
    <w:p w:rsidR="00175657" w:rsidRDefault="00175657" w:rsidP="00640652">
      <w:pPr>
        <w:spacing w:after="0"/>
      </w:pPr>
    </w:p>
    <w:p w:rsidR="00175657" w:rsidRDefault="00175657" w:rsidP="00640652">
      <w:pPr>
        <w:spacing w:after="0"/>
      </w:pPr>
      <w:r>
        <w:rPr>
          <w:b/>
        </w:rPr>
        <w:t>By email:</w:t>
      </w:r>
    </w:p>
    <w:p w:rsidR="00175657" w:rsidRDefault="00CD0333" w:rsidP="00640652">
      <w:pPr>
        <w:spacing w:after="0"/>
      </w:pPr>
      <w:hyperlink r:id="rId9" w:history="1">
        <w:r w:rsidR="00175657" w:rsidRPr="00154FE5">
          <w:rPr>
            <w:rStyle w:val="Hyperlink"/>
          </w:rPr>
          <w:t>Humanresources@scholastic.ca</w:t>
        </w:r>
      </w:hyperlink>
    </w:p>
    <w:p w:rsidR="00175657" w:rsidRDefault="00175657" w:rsidP="00640652">
      <w:pPr>
        <w:spacing w:after="0"/>
      </w:pPr>
    </w:p>
    <w:p w:rsidR="00175657" w:rsidRPr="00175657" w:rsidRDefault="00175657" w:rsidP="00640652">
      <w:pPr>
        <w:spacing w:after="0"/>
        <w:rPr>
          <w:b/>
        </w:rPr>
      </w:pPr>
      <w:r w:rsidRPr="00175657">
        <w:rPr>
          <w:b/>
        </w:rPr>
        <w:t xml:space="preserve">By </w:t>
      </w:r>
      <w:r>
        <w:rPr>
          <w:b/>
        </w:rPr>
        <w:t xml:space="preserve">regular </w:t>
      </w:r>
      <w:r w:rsidRPr="00175657">
        <w:rPr>
          <w:b/>
        </w:rPr>
        <w:t>mail:</w:t>
      </w:r>
    </w:p>
    <w:p w:rsidR="00175657" w:rsidRDefault="00175657" w:rsidP="00640652">
      <w:pPr>
        <w:spacing w:after="0"/>
      </w:pPr>
      <w:r>
        <w:t>Please forward your comments or questions to the following address</w:t>
      </w:r>
      <w:r w:rsidR="00390A6F">
        <w:t>:</w:t>
      </w:r>
    </w:p>
    <w:p w:rsidR="00175657" w:rsidRPr="0015118F" w:rsidRDefault="00175657" w:rsidP="00640652">
      <w:pPr>
        <w:spacing w:after="0"/>
        <w:rPr>
          <w:rFonts w:cstheme="minorHAnsi"/>
        </w:rPr>
      </w:pPr>
      <w:r w:rsidRPr="00353CA2">
        <w:rPr>
          <w:rStyle w:val="Strong"/>
          <w:rFonts w:cstheme="minorHAnsi"/>
          <w:b w:val="0"/>
          <w:color w:val="333333"/>
          <w:shd w:val="clear" w:color="auto" w:fill="FFFFFF"/>
        </w:rPr>
        <w:t>Scholastic Canada Ltd.</w:t>
      </w:r>
      <w:r w:rsidRPr="00353CA2">
        <w:rPr>
          <w:rFonts w:cstheme="minorHAnsi"/>
          <w:b/>
          <w:color w:val="333333"/>
        </w:rPr>
        <w:br/>
      </w:r>
      <w:r w:rsidRPr="00353CA2">
        <w:rPr>
          <w:rStyle w:val="Strong"/>
          <w:rFonts w:cstheme="minorHAnsi"/>
          <w:b w:val="0"/>
          <w:color w:val="333333"/>
          <w:shd w:val="clear" w:color="auto" w:fill="FFFFFF"/>
        </w:rPr>
        <w:t>Human Resources Division</w:t>
      </w:r>
      <w:r w:rsidRPr="00353CA2">
        <w:rPr>
          <w:rFonts w:cstheme="minorHAnsi"/>
          <w:b/>
          <w:color w:val="333333"/>
        </w:rPr>
        <w:br/>
      </w:r>
      <w:r w:rsidRPr="0015118F">
        <w:rPr>
          <w:rFonts w:cstheme="minorHAnsi"/>
          <w:color w:val="333333"/>
          <w:shd w:val="clear" w:color="auto" w:fill="FFFFFF"/>
        </w:rPr>
        <w:t>175 Hillmount Road</w:t>
      </w:r>
      <w:r w:rsidRPr="0015118F">
        <w:rPr>
          <w:rFonts w:cstheme="minorHAnsi"/>
          <w:color w:val="333333"/>
        </w:rPr>
        <w:br/>
      </w:r>
      <w:r w:rsidRPr="0015118F">
        <w:rPr>
          <w:rFonts w:cstheme="minorHAnsi"/>
          <w:color w:val="333333"/>
          <w:shd w:val="clear" w:color="auto" w:fill="FFFFFF"/>
        </w:rPr>
        <w:t>Markham, ON L6C 1Z7</w:t>
      </w:r>
    </w:p>
    <w:sectPr w:rsidR="00175657" w:rsidRPr="0015118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08" w:rsidRDefault="00120308" w:rsidP="001363EA">
      <w:pPr>
        <w:spacing w:after="0" w:line="240" w:lineRule="auto"/>
      </w:pPr>
      <w:r>
        <w:separator/>
      </w:r>
    </w:p>
  </w:endnote>
  <w:endnote w:type="continuationSeparator" w:id="0">
    <w:p w:rsidR="00120308" w:rsidRDefault="00120308" w:rsidP="0013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34705"/>
      <w:docPartObj>
        <w:docPartGallery w:val="Page Numbers (Bottom of Page)"/>
        <w:docPartUnique/>
      </w:docPartObj>
    </w:sdtPr>
    <w:sdtEndPr>
      <w:rPr>
        <w:noProof/>
      </w:rPr>
    </w:sdtEndPr>
    <w:sdtContent>
      <w:p w:rsidR="00FF7455" w:rsidRDefault="00FF7455">
        <w:pPr>
          <w:pStyle w:val="Footer"/>
          <w:jc w:val="right"/>
        </w:pPr>
        <w:r>
          <w:fldChar w:fldCharType="begin"/>
        </w:r>
        <w:r>
          <w:instrText xml:space="preserve"> PAGE   \* MERGEFORMAT </w:instrText>
        </w:r>
        <w:r>
          <w:fldChar w:fldCharType="separate"/>
        </w:r>
        <w:r w:rsidR="00CD0333">
          <w:rPr>
            <w:noProof/>
          </w:rPr>
          <w:t>3</w:t>
        </w:r>
        <w:r>
          <w:rPr>
            <w:noProof/>
          </w:rPr>
          <w:fldChar w:fldCharType="end"/>
        </w:r>
      </w:p>
    </w:sdtContent>
  </w:sdt>
  <w:p w:rsidR="001363EA" w:rsidRDefault="00136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08" w:rsidRDefault="00120308" w:rsidP="001363EA">
      <w:pPr>
        <w:spacing w:after="0" w:line="240" w:lineRule="auto"/>
      </w:pPr>
      <w:r>
        <w:separator/>
      </w:r>
    </w:p>
  </w:footnote>
  <w:footnote w:type="continuationSeparator" w:id="0">
    <w:p w:rsidR="00120308" w:rsidRDefault="00120308" w:rsidP="00136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FBA" w:rsidRDefault="00BC68B7" w:rsidP="00BC68B7">
    <w:pPr>
      <w:pStyle w:val="Header"/>
      <w:jc w:val="center"/>
    </w:pPr>
    <w:r>
      <w:rPr>
        <w:noProof/>
        <w:lang w:val="en-US"/>
      </w:rPr>
      <w:drawing>
        <wp:inline distT="0" distB="0" distL="0" distR="0" wp14:anchorId="02BF2D25" wp14:editId="7B338E66">
          <wp:extent cx="4584192" cy="557784"/>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Ba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84192" cy="557784"/>
                  </a:xfrm>
                  <a:prstGeom prst="rect">
                    <a:avLst/>
                  </a:prstGeom>
                </pic:spPr>
              </pic:pic>
            </a:graphicData>
          </a:graphic>
        </wp:inline>
      </w:drawing>
    </w:r>
  </w:p>
  <w:p w:rsidR="00BC68B7" w:rsidRDefault="00BC68B7" w:rsidP="00BC68B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83B"/>
    <w:multiLevelType w:val="hybridMultilevel"/>
    <w:tmpl w:val="6E540F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8A0A76"/>
    <w:multiLevelType w:val="hybridMultilevel"/>
    <w:tmpl w:val="4A94837E"/>
    <w:lvl w:ilvl="0" w:tplc="67C0AF0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B805C5F"/>
    <w:multiLevelType w:val="hybridMultilevel"/>
    <w:tmpl w:val="0B0C2E44"/>
    <w:lvl w:ilvl="0" w:tplc="36CA557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D1430A"/>
    <w:multiLevelType w:val="hybridMultilevel"/>
    <w:tmpl w:val="0CC07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521230"/>
    <w:multiLevelType w:val="hybridMultilevel"/>
    <w:tmpl w:val="F8F09A38"/>
    <w:lvl w:ilvl="0" w:tplc="4054438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EB14F6"/>
    <w:multiLevelType w:val="hybridMultilevel"/>
    <w:tmpl w:val="58F2D696"/>
    <w:lvl w:ilvl="0" w:tplc="7CA6533A">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EF36619"/>
    <w:multiLevelType w:val="hybridMultilevel"/>
    <w:tmpl w:val="5BA081F8"/>
    <w:lvl w:ilvl="0" w:tplc="71A8C1C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126439D"/>
    <w:multiLevelType w:val="hybridMultilevel"/>
    <w:tmpl w:val="5B765BDE"/>
    <w:lvl w:ilvl="0" w:tplc="CA3CF1B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3127C12"/>
    <w:multiLevelType w:val="hybridMultilevel"/>
    <w:tmpl w:val="C7F8044E"/>
    <w:lvl w:ilvl="0" w:tplc="AE462C3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37E2755"/>
    <w:multiLevelType w:val="hybridMultilevel"/>
    <w:tmpl w:val="4842818C"/>
    <w:lvl w:ilvl="0" w:tplc="EDA2E90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45B4636"/>
    <w:multiLevelType w:val="hybridMultilevel"/>
    <w:tmpl w:val="F8DA90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7DF25E4"/>
    <w:multiLevelType w:val="hybridMultilevel"/>
    <w:tmpl w:val="DC428D48"/>
    <w:lvl w:ilvl="0" w:tplc="AD9246CE">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0BD480D"/>
    <w:multiLevelType w:val="hybridMultilevel"/>
    <w:tmpl w:val="9AF05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B792149"/>
    <w:multiLevelType w:val="hybridMultilevel"/>
    <w:tmpl w:val="34BEC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54767291"/>
    <w:multiLevelType w:val="hybridMultilevel"/>
    <w:tmpl w:val="0BDA2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A25110B"/>
    <w:multiLevelType w:val="hybridMultilevel"/>
    <w:tmpl w:val="15468B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D79783E"/>
    <w:multiLevelType w:val="hybridMultilevel"/>
    <w:tmpl w:val="6302D256"/>
    <w:lvl w:ilvl="0" w:tplc="CA3CF1B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B733A41"/>
    <w:multiLevelType w:val="hybridMultilevel"/>
    <w:tmpl w:val="920C6D22"/>
    <w:lvl w:ilvl="0" w:tplc="3DBCA20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CDA1933"/>
    <w:multiLevelType w:val="hybridMultilevel"/>
    <w:tmpl w:val="D2C8BA22"/>
    <w:lvl w:ilvl="0" w:tplc="AC5CF32E">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7D4A4B2B"/>
    <w:multiLevelType w:val="hybridMultilevel"/>
    <w:tmpl w:val="18AC0598"/>
    <w:lvl w:ilvl="0" w:tplc="C4546444">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13"/>
  </w:num>
  <w:num w:numId="5">
    <w:abstractNumId w:val="18"/>
  </w:num>
  <w:num w:numId="6">
    <w:abstractNumId w:val="17"/>
  </w:num>
  <w:num w:numId="7">
    <w:abstractNumId w:val="8"/>
  </w:num>
  <w:num w:numId="8">
    <w:abstractNumId w:val="9"/>
  </w:num>
  <w:num w:numId="9">
    <w:abstractNumId w:val="6"/>
  </w:num>
  <w:num w:numId="10">
    <w:abstractNumId w:val="16"/>
  </w:num>
  <w:num w:numId="11">
    <w:abstractNumId w:val="7"/>
  </w:num>
  <w:num w:numId="12">
    <w:abstractNumId w:val="1"/>
  </w:num>
  <w:num w:numId="13">
    <w:abstractNumId w:val="10"/>
  </w:num>
  <w:num w:numId="14">
    <w:abstractNumId w:val="11"/>
  </w:num>
  <w:num w:numId="15">
    <w:abstractNumId w:val="5"/>
  </w:num>
  <w:num w:numId="16">
    <w:abstractNumId w:val="3"/>
  </w:num>
  <w:num w:numId="17">
    <w:abstractNumId w:val="4"/>
  </w:num>
  <w:num w:numId="18">
    <w:abstractNumId w:val="2"/>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96"/>
    <w:rsid w:val="00051E7D"/>
    <w:rsid w:val="000568D7"/>
    <w:rsid w:val="00070795"/>
    <w:rsid w:val="0007611C"/>
    <w:rsid w:val="000B6BC8"/>
    <w:rsid w:val="000D5232"/>
    <w:rsid w:val="000F7853"/>
    <w:rsid w:val="00115063"/>
    <w:rsid w:val="00120308"/>
    <w:rsid w:val="001363EA"/>
    <w:rsid w:val="0014542D"/>
    <w:rsid w:val="0015118F"/>
    <w:rsid w:val="001624E3"/>
    <w:rsid w:val="00172336"/>
    <w:rsid w:val="00175657"/>
    <w:rsid w:val="001B0949"/>
    <w:rsid w:val="001E3885"/>
    <w:rsid w:val="00210781"/>
    <w:rsid w:val="00276FA3"/>
    <w:rsid w:val="002A121F"/>
    <w:rsid w:val="002A3DF8"/>
    <w:rsid w:val="002F23B6"/>
    <w:rsid w:val="003358C5"/>
    <w:rsid w:val="00341ECE"/>
    <w:rsid w:val="00346E2E"/>
    <w:rsid w:val="00347996"/>
    <w:rsid w:val="00353751"/>
    <w:rsid w:val="00353CA2"/>
    <w:rsid w:val="00373AC7"/>
    <w:rsid w:val="00390A6F"/>
    <w:rsid w:val="00443DDB"/>
    <w:rsid w:val="00456CCC"/>
    <w:rsid w:val="0046367E"/>
    <w:rsid w:val="0047133E"/>
    <w:rsid w:val="004D40AF"/>
    <w:rsid w:val="004E3380"/>
    <w:rsid w:val="0056298C"/>
    <w:rsid w:val="005C5F69"/>
    <w:rsid w:val="0062719E"/>
    <w:rsid w:val="0063317A"/>
    <w:rsid w:val="00640137"/>
    <w:rsid w:val="00640652"/>
    <w:rsid w:val="006B4EC1"/>
    <w:rsid w:val="00702703"/>
    <w:rsid w:val="00765483"/>
    <w:rsid w:val="007914D2"/>
    <w:rsid w:val="007C3967"/>
    <w:rsid w:val="00855780"/>
    <w:rsid w:val="00887F49"/>
    <w:rsid w:val="008C7666"/>
    <w:rsid w:val="008E38E9"/>
    <w:rsid w:val="008E74E8"/>
    <w:rsid w:val="009049B8"/>
    <w:rsid w:val="009919AD"/>
    <w:rsid w:val="009B5213"/>
    <w:rsid w:val="009C56B6"/>
    <w:rsid w:val="009F18BD"/>
    <w:rsid w:val="00A47512"/>
    <w:rsid w:val="00A50F8B"/>
    <w:rsid w:val="00A72F7E"/>
    <w:rsid w:val="00A914E1"/>
    <w:rsid w:val="00AE444B"/>
    <w:rsid w:val="00B065AE"/>
    <w:rsid w:val="00B16C24"/>
    <w:rsid w:val="00B33D72"/>
    <w:rsid w:val="00B510DC"/>
    <w:rsid w:val="00B85AD3"/>
    <w:rsid w:val="00BA7A6F"/>
    <w:rsid w:val="00BC68B7"/>
    <w:rsid w:val="00BE42FB"/>
    <w:rsid w:val="00C16448"/>
    <w:rsid w:val="00C84D5F"/>
    <w:rsid w:val="00CB1C74"/>
    <w:rsid w:val="00CD0333"/>
    <w:rsid w:val="00D02B82"/>
    <w:rsid w:val="00D0382C"/>
    <w:rsid w:val="00D14E13"/>
    <w:rsid w:val="00D17779"/>
    <w:rsid w:val="00D247CF"/>
    <w:rsid w:val="00D30D88"/>
    <w:rsid w:val="00D40B1D"/>
    <w:rsid w:val="00D46057"/>
    <w:rsid w:val="00D761F3"/>
    <w:rsid w:val="00D76CC3"/>
    <w:rsid w:val="00D91ADF"/>
    <w:rsid w:val="00DB3CC7"/>
    <w:rsid w:val="00DB4FBA"/>
    <w:rsid w:val="00DC503E"/>
    <w:rsid w:val="00DF1746"/>
    <w:rsid w:val="00E45BDD"/>
    <w:rsid w:val="00E52A0D"/>
    <w:rsid w:val="00EB4CC7"/>
    <w:rsid w:val="00F35594"/>
    <w:rsid w:val="00F50E4A"/>
    <w:rsid w:val="00F85C18"/>
    <w:rsid w:val="00FA1100"/>
    <w:rsid w:val="00FF2FA7"/>
    <w:rsid w:val="00FF74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448"/>
    <w:rPr>
      <w:color w:val="0000FF" w:themeColor="hyperlink"/>
      <w:u w:val="single"/>
    </w:rPr>
  </w:style>
  <w:style w:type="paragraph" w:styleId="ListParagraph">
    <w:name w:val="List Paragraph"/>
    <w:basedOn w:val="Normal"/>
    <w:uiPriority w:val="34"/>
    <w:qFormat/>
    <w:rsid w:val="000B6BC8"/>
    <w:pPr>
      <w:ind w:left="720"/>
      <w:contextualSpacing/>
    </w:pPr>
  </w:style>
  <w:style w:type="table" w:styleId="TableGrid">
    <w:name w:val="Table Grid"/>
    <w:basedOn w:val="TableNormal"/>
    <w:uiPriority w:val="59"/>
    <w:rsid w:val="000B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5657"/>
    <w:rPr>
      <w:b/>
      <w:bCs/>
    </w:rPr>
  </w:style>
  <w:style w:type="paragraph" w:styleId="Header">
    <w:name w:val="header"/>
    <w:basedOn w:val="Normal"/>
    <w:link w:val="HeaderChar"/>
    <w:uiPriority w:val="99"/>
    <w:unhideWhenUsed/>
    <w:rsid w:val="00136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EA"/>
  </w:style>
  <w:style w:type="paragraph" w:styleId="Footer">
    <w:name w:val="footer"/>
    <w:basedOn w:val="Normal"/>
    <w:link w:val="FooterChar"/>
    <w:uiPriority w:val="99"/>
    <w:unhideWhenUsed/>
    <w:rsid w:val="00136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EA"/>
  </w:style>
  <w:style w:type="paragraph" w:styleId="BalloonText">
    <w:name w:val="Balloon Text"/>
    <w:basedOn w:val="Normal"/>
    <w:link w:val="BalloonTextChar"/>
    <w:uiPriority w:val="99"/>
    <w:semiHidden/>
    <w:unhideWhenUsed/>
    <w:rsid w:val="00D7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448"/>
    <w:rPr>
      <w:color w:val="0000FF" w:themeColor="hyperlink"/>
      <w:u w:val="single"/>
    </w:rPr>
  </w:style>
  <w:style w:type="paragraph" w:styleId="ListParagraph">
    <w:name w:val="List Paragraph"/>
    <w:basedOn w:val="Normal"/>
    <w:uiPriority w:val="34"/>
    <w:qFormat/>
    <w:rsid w:val="000B6BC8"/>
    <w:pPr>
      <w:ind w:left="720"/>
      <w:contextualSpacing/>
    </w:pPr>
  </w:style>
  <w:style w:type="table" w:styleId="TableGrid">
    <w:name w:val="Table Grid"/>
    <w:basedOn w:val="TableNormal"/>
    <w:uiPriority w:val="59"/>
    <w:rsid w:val="000B6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75657"/>
    <w:rPr>
      <w:b/>
      <w:bCs/>
    </w:rPr>
  </w:style>
  <w:style w:type="paragraph" w:styleId="Header">
    <w:name w:val="header"/>
    <w:basedOn w:val="Normal"/>
    <w:link w:val="HeaderChar"/>
    <w:uiPriority w:val="99"/>
    <w:unhideWhenUsed/>
    <w:rsid w:val="00136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EA"/>
  </w:style>
  <w:style w:type="paragraph" w:styleId="Footer">
    <w:name w:val="footer"/>
    <w:basedOn w:val="Normal"/>
    <w:link w:val="FooterChar"/>
    <w:uiPriority w:val="99"/>
    <w:unhideWhenUsed/>
    <w:rsid w:val="001363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EA"/>
  </w:style>
  <w:style w:type="paragraph" w:styleId="BalloonText">
    <w:name w:val="Balloon Text"/>
    <w:basedOn w:val="Normal"/>
    <w:link w:val="BalloonTextChar"/>
    <w:uiPriority w:val="99"/>
    <w:semiHidden/>
    <w:unhideWhenUsed/>
    <w:rsid w:val="00D76C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lastic.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umanresources@scholasti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Crangle, Chelsea</dc:creator>
  <cp:lastModifiedBy>Crangle, Chelsea</cp:lastModifiedBy>
  <cp:revision>4</cp:revision>
  <cp:lastPrinted>2015-04-09T16:25:00Z</cp:lastPrinted>
  <dcterms:created xsi:type="dcterms:W3CDTF">2015-07-17T17:30:00Z</dcterms:created>
  <dcterms:modified xsi:type="dcterms:W3CDTF">2015-09-15T17:33:00Z</dcterms:modified>
</cp:coreProperties>
</file>